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28CC" w:rsidRDefault="00BE491E">
      <w:pPr>
        <w:jc w:val="center"/>
        <w:rPr>
          <w:rFonts w:hint="eastAsia"/>
        </w:rPr>
      </w:pPr>
      <w:r>
        <w:rPr>
          <w:b/>
          <w:color w:val="1F4E79"/>
          <w:sz w:val="36"/>
        </w:rPr>
        <w:t>Workflow Stabilization Plan</w:t>
      </w:r>
      <w:bookmarkStart w:id="0" w:name="_GoBack"/>
      <w:bookmarkEnd w:id="0"/>
    </w:p>
    <w:p w:rsidR="00FE28CC" w:rsidRDefault="00BE491E">
      <w:pPr>
        <w:jc w:val="center"/>
        <w:rPr>
          <w:rFonts w:hint="eastAsia"/>
        </w:rPr>
      </w:pPr>
      <w:r>
        <w:rPr>
          <w:i/>
          <w:color w:val="595959"/>
        </w:rPr>
        <w:t>Section 4 — Apex Insurance Group Integrated Architecture Package</w:t>
      </w:r>
    </w:p>
    <w:p w:rsidR="00FE28CC" w:rsidRDefault="00FE28CC">
      <w:pPr>
        <w:rPr>
          <w:rFonts w:hint="eastAsia"/>
        </w:rPr>
      </w:pPr>
    </w:p>
    <w:tbl>
      <w:tblPr>
        <w:tblStyle w:val="TableGrid"/>
        <w:tblW w:w="10368" w:type="dxa"/>
        <w:jc w:val="center"/>
        <w:tblLook w:val="04A0" w:firstRow="1" w:lastRow="0" w:firstColumn="1" w:lastColumn="0" w:noHBand="0" w:noVBand="1"/>
      </w:tblPr>
      <w:tblGrid>
        <w:gridCol w:w="5185"/>
        <w:gridCol w:w="5183"/>
      </w:tblGrid>
      <w:tr w:rsidR="00FE28CC">
        <w:trPr>
          <w:jc w:val="center"/>
        </w:trPr>
        <w:tc>
          <w:tcPr>
            <w:tcW w:w="5184" w:type="dxa"/>
            <w:shd w:val="clear" w:color="auto" w:fill="E7E6E6"/>
          </w:tcPr>
          <w:p w:rsidR="00FE28CC" w:rsidRDefault="00BE491E">
            <w:pPr>
              <w:spacing w:after="0" w:line="240" w:lineRule="auto"/>
              <w:rPr>
                <w:rFonts w:hint="eastAsia"/>
              </w:rPr>
            </w:pPr>
            <w:r>
              <w:rPr>
                <w:b/>
                <w:color w:val="1F1F1F"/>
                <w:sz w:val="18"/>
              </w:rPr>
              <w:t>Project</w:t>
            </w:r>
          </w:p>
        </w:tc>
        <w:tc>
          <w:tcPr>
            <w:tcW w:w="5183" w:type="dxa"/>
          </w:tcPr>
          <w:p w:rsidR="00FE28CC" w:rsidRDefault="00BE491E">
            <w:pPr>
              <w:spacing w:after="0" w:line="240" w:lineRule="auto"/>
              <w:rPr>
                <w:rFonts w:hint="eastAsia"/>
              </w:rPr>
            </w:pPr>
            <w:r>
              <w:rPr>
                <w:color w:val="1F1F1F"/>
                <w:sz w:val="18"/>
              </w:rPr>
              <w:t>Apex Insurance Group Integrated Architecture and Sign-off Package</w:t>
            </w:r>
          </w:p>
        </w:tc>
      </w:tr>
      <w:tr w:rsidR="00FE28CC">
        <w:trPr>
          <w:jc w:val="center"/>
        </w:trPr>
        <w:tc>
          <w:tcPr>
            <w:tcW w:w="5184" w:type="dxa"/>
            <w:shd w:val="clear" w:color="auto" w:fill="E7E6E6"/>
          </w:tcPr>
          <w:p w:rsidR="00FE28CC" w:rsidRDefault="00BE491E">
            <w:pPr>
              <w:spacing w:after="0" w:line="240" w:lineRule="auto"/>
              <w:rPr>
                <w:rFonts w:hint="eastAsia"/>
              </w:rPr>
            </w:pPr>
            <w:r>
              <w:rPr>
                <w:b/>
                <w:color w:val="1F1F1F"/>
                <w:sz w:val="18"/>
              </w:rPr>
              <w:t>Template Section</w:t>
            </w:r>
          </w:p>
        </w:tc>
        <w:tc>
          <w:tcPr>
            <w:tcW w:w="5183" w:type="dxa"/>
          </w:tcPr>
          <w:p w:rsidR="00FE28CC" w:rsidRDefault="00BE491E">
            <w:pPr>
              <w:spacing w:after="0" w:line="240" w:lineRule="auto"/>
              <w:rPr>
                <w:rFonts w:hint="eastAsia"/>
              </w:rPr>
            </w:pPr>
            <w:r>
              <w:rPr>
                <w:color w:val="1F1F1F"/>
                <w:sz w:val="18"/>
              </w:rPr>
              <w:t>Section 4 — Workflow Stabilization Assessment</w:t>
            </w:r>
          </w:p>
        </w:tc>
      </w:tr>
      <w:tr w:rsidR="00FE28CC">
        <w:trPr>
          <w:jc w:val="center"/>
        </w:trPr>
        <w:tc>
          <w:tcPr>
            <w:tcW w:w="5184" w:type="dxa"/>
            <w:shd w:val="clear" w:color="auto" w:fill="E7E6E6"/>
          </w:tcPr>
          <w:p w:rsidR="00FE28CC" w:rsidRDefault="00BE491E">
            <w:pPr>
              <w:spacing w:after="0" w:line="240" w:lineRule="auto"/>
              <w:rPr>
                <w:rFonts w:hint="eastAsia"/>
              </w:rPr>
            </w:pPr>
            <w:r>
              <w:rPr>
                <w:b/>
                <w:color w:val="1F1F1F"/>
                <w:sz w:val="18"/>
              </w:rPr>
              <w:t>Learner Name</w:t>
            </w:r>
          </w:p>
        </w:tc>
        <w:tc>
          <w:tcPr>
            <w:tcW w:w="5183" w:type="dxa"/>
          </w:tcPr>
          <w:p w:rsidR="00FE28CC" w:rsidRDefault="00BE491E">
            <w:pPr>
              <w:spacing w:after="0" w:line="240" w:lineRule="auto"/>
              <w:rPr>
                <w:rFonts w:hint="eastAsia"/>
              </w:rPr>
            </w:pPr>
            <w:r>
              <w:rPr>
                <w:color w:val="1F1F1F"/>
                <w:sz w:val="18"/>
                <w:szCs w:val="18"/>
              </w:rPr>
              <w:t>Dennis Lam</w:t>
            </w:r>
          </w:p>
        </w:tc>
      </w:tr>
      <w:tr w:rsidR="00FE28CC">
        <w:trPr>
          <w:jc w:val="center"/>
        </w:trPr>
        <w:tc>
          <w:tcPr>
            <w:tcW w:w="5184" w:type="dxa"/>
            <w:shd w:val="clear" w:color="auto" w:fill="E7E6E6"/>
          </w:tcPr>
          <w:p w:rsidR="00FE28CC" w:rsidRDefault="00BE491E">
            <w:pPr>
              <w:spacing w:after="0" w:line="240" w:lineRule="auto"/>
              <w:rPr>
                <w:rFonts w:hint="eastAsia"/>
              </w:rPr>
            </w:pPr>
            <w:r>
              <w:rPr>
                <w:b/>
                <w:color w:val="1F1F1F"/>
                <w:sz w:val="18"/>
              </w:rPr>
              <w:t>Deliverable</w:t>
            </w:r>
          </w:p>
        </w:tc>
        <w:tc>
          <w:tcPr>
            <w:tcW w:w="5183" w:type="dxa"/>
          </w:tcPr>
          <w:p w:rsidR="00FE28CC" w:rsidRDefault="00BE491E">
            <w:pPr>
              <w:spacing w:after="0" w:line="240" w:lineRule="auto"/>
              <w:rPr>
                <w:rFonts w:hint="eastAsia"/>
              </w:rPr>
            </w:pPr>
            <w:r>
              <w:rPr>
                <w:color w:val="1F1F1F"/>
                <w:sz w:val="18"/>
              </w:rPr>
              <w:t>AI-Graded File Upload (PDF)</w:t>
            </w:r>
          </w:p>
        </w:tc>
      </w:tr>
    </w:tbl>
    <w:p w:rsidR="00FE28CC" w:rsidRDefault="00FE28CC">
      <w:pPr>
        <w:rPr>
          <w:rFonts w:hint="eastAsia"/>
        </w:rPr>
      </w:pPr>
    </w:p>
    <w:tbl>
      <w:tblPr>
        <w:tblStyle w:val="TableGrid"/>
        <w:tblW w:w="10368" w:type="dxa"/>
        <w:tblLook w:val="04A0" w:firstRow="1" w:lastRow="0" w:firstColumn="1" w:lastColumn="0" w:noHBand="0" w:noVBand="1"/>
      </w:tblPr>
      <w:tblGrid>
        <w:gridCol w:w="10368"/>
      </w:tblGrid>
      <w:tr w:rsidR="00FE28CC">
        <w:tc>
          <w:tcPr>
            <w:tcW w:w="10368" w:type="dxa"/>
            <w:shd w:val="clear" w:color="auto" w:fill="FFF2CC"/>
          </w:tcPr>
          <w:p w:rsidR="00FE28CC" w:rsidRDefault="00BE491E">
            <w:pPr>
              <w:spacing w:after="0" w:line="240" w:lineRule="auto"/>
              <w:rPr>
                <w:rFonts w:hint="eastAsia"/>
              </w:rPr>
            </w:pPr>
            <w:r>
              <w:rPr>
                <w:b/>
                <w:color w:val="1F1F1F"/>
                <w:sz w:val="18"/>
                <w:szCs w:val="18"/>
              </w:rPr>
              <w:t>Section summary.</w:t>
            </w:r>
            <w:r>
              <w:rPr>
                <w:color w:val="1F1F1F"/>
                <w:sz w:val="18"/>
                <w:szCs w:val="18"/>
              </w:rPr>
              <w:t xml:space="preserve"> Three failure nodes carry the most risk in the Claims workflow. </w:t>
            </w:r>
            <w:r>
              <w:rPr>
                <w:b/>
                <w:color w:val="1F1F1F"/>
                <w:sz w:val="18"/>
                <w:szCs w:val="18"/>
              </w:rPr>
              <w:t>FN-001</w:t>
            </w:r>
            <w:r>
              <w:rPr>
                <w:color w:val="1F1F1F"/>
                <w:sz w:val="18"/>
                <w:szCs w:val="18"/>
              </w:rPr>
              <w:t xml:space="preserve"> is the external public-records API behind the Fraud and Risk Specialist. </w:t>
            </w:r>
            <w:r>
              <w:rPr>
                <w:b/>
                <w:color w:val="1F1F1F"/>
                <w:sz w:val="18"/>
                <w:szCs w:val="18"/>
              </w:rPr>
              <w:t>FN-002</w:t>
            </w:r>
            <w:r>
              <w:rPr>
                <w:color w:val="1F1F1F"/>
                <w:sz w:val="18"/>
                <w:szCs w:val="18"/>
              </w:rPr>
              <w:t xml:space="preserve"> is the Settlement Specialist’s out</w:t>
            </w:r>
            <w:r>
              <w:rPr>
                <w:color w:val="1F1F1F"/>
                <w:sz w:val="18"/>
                <w:szCs w:val="18"/>
              </w:rPr>
              <w:t xml:space="preserve">put. </w:t>
            </w:r>
            <w:r>
              <w:rPr>
                <w:b/>
                <w:color w:val="1F1F1F"/>
                <w:sz w:val="18"/>
                <w:szCs w:val="18"/>
              </w:rPr>
              <w:t>FN-003</w:t>
            </w:r>
            <w:r>
              <w:rPr>
                <w:color w:val="1F1F1F"/>
                <w:sz w:val="18"/>
                <w:szCs w:val="18"/>
              </w:rPr>
              <w:t xml:space="preserve"> is the instrumentation of the Fraud-to-Settlement A2A handoff. Each traces to an agent or handoff named in Sections 2 and 3 and has a selected pattern: circuit breaker with fallback, validation failure branch, and observability instrumentation </w:t>
            </w:r>
            <w:r>
              <w:rPr>
                <w:color w:val="1F1F1F"/>
                <w:sz w:val="18"/>
                <w:szCs w:val="18"/>
              </w:rPr>
              <w:t>enforced as a release gate. Named spans with specific capture targets back all three. The result: an API outage parks claims instead of producing blank letters, malformed letters never reach an adjuster, and any claim’s agent path can be rebuilt from one c</w:t>
            </w:r>
            <w:r>
              <w:rPr>
                <w:color w:val="1F1F1F"/>
                <w:sz w:val="18"/>
                <w:szCs w:val="18"/>
              </w:rPr>
              <w:t>orrelation_id.</w:t>
            </w:r>
          </w:p>
        </w:tc>
      </w:tr>
    </w:tbl>
    <w:p w:rsidR="00FE28CC" w:rsidRDefault="00FE28CC">
      <w:pPr>
        <w:rPr>
          <w:rFonts w:hint="eastAsia"/>
        </w:rPr>
      </w:pPr>
    </w:p>
    <w:p w:rsidR="00FE28CC" w:rsidRDefault="00BE491E">
      <w:pPr>
        <w:pStyle w:val="Heading2"/>
      </w:pPr>
      <w:r>
        <w:t>1. Claims Processing Workflow Reference</w:t>
      </w:r>
    </w:p>
    <w:tbl>
      <w:tblPr>
        <w:tblStyle w:val="TableGrid"/>
        <w:tblW w:w="10368" w:type="dxa"/>
        <w:jc w:val="center"/>
        <w:tblLook w:val="04A0" w:firstRow="1" w:lastRow="0" w:firstColumn="1" w:lastColumn="0" w:noHBand="0" w:noVBand="1"/>
      </w:tblPr>
      <w:tblGrid>
        <w:gridCol w:w="1800"/>
        <w:gridCol w:w="2300"/>
        <w:gridCol w:w="3300"/>
        <w:gridCol w:w="2968"/>
      </w:tblGrid>
      <w:tr w:rsidR="00FE28CC">
        <w:trPr>
          <w:tblHeader/>
          <w:jc w:val="center"/>
        </w:trPr>
        <w:tc>
          <w:tcPr>
            <w:tcW w:w="1800" w:type="dxa"/>
            <w:shd w:val="clear" w:color="auto" w:fill="1F4E79"/>
          </w:tcPr>
          <w:p w:rsidR="00FE28CC" w:rsidRDefault="00BE491E">
            <w:pPr>
              <w:spacing w:after="0" w:line="240" w:lineRule="auto"/>
              <w:rPr>
                <w:rFonts w:hint="eastAsia"/>
              </w:rPr>
            </w:pPr>
            <w:r>
              <w:rPr>
                <w:b/>
                <w:color w:val="FFFFFF"/>
                <w:sz w:val="18"/>
              </w:rPr>
              <w:t>Workflow Node</w:t>
            </w:r>
          </w:p>
        </w:tc>
        <w:tc>
          <w:tcPr>
            <w:tcW w:w="2300" w:type="dxa"/>
            <w:shd w:val="clear" w:color="auto" w:fill="1F4E79"/>
          </w:tcPr>
          <w:p w:rsidR="00FE28CC" w:rsidRDefault="00BE491E">
            <w:pPr>
              <w:spacing w:after="0" w:line="240" w:lineRule="auto"/>
              <w:rPr>
                <w:rFonts w:hint="eastAsia"/>
              </w:rPr>
            </w:pPr>
            <w:r>
              <w:rPr>
                <w:b/>
                <w:color w:val="FFFFFF"/>
                <w:sz w:val="18"/>
              </w:rPr>
              <w:t>Agent / System</w:t>
            </w:r>
          </w:p>
        </w:tc>
        <w:tc>
          <w:tcPr>
            <w:tcW w:w="3300" w:type="dxa"/>
            <w:shd w:val="clear" w:color="auto" w:fill="1F4E79"/>
          </w:tcPr>
          <w:p w:rsidR="00FE28CC" w:rsidRDefault="00BE491E">
            <w:pPr>
              <w:spacing w:after="0" w:line="240" w:lineRule="auto"/>
              <w:rPr>
                <w:rFonts w:hint="eastAsia"/>
              </w:rPr>
            </w:pPr>
            <w:r>
              <w:rPr>
                <w:b/>
                <w:color w:val="FFFFFF"/>
                <w:sz w:val="18"/>
              </w:rPr>
              <w:t>Normal Function</w:t>
            </w:r>
          </w:p>
        </w:tc>
        <w:tc>
          <w:tcPr>
            <w:tcW w:w="2968" w:type="dxa"/>
            <w:shd w:val="clear" w:color="auto" w:fill="1F4E79"/>
          </w:tcPr>
          <w:p w:rsidR="00FE28CC" w:rsidRDefault="00BE491E">
            <w:pPr>
              <w:spacing w:after="0" w:line="240" w:lineRule="auto"/>
              <w:rPr>
                <w:rFonts w:hint="eastAsia"/>
              </w:rPr>
            </w:pPr>
            <w:r>
              <w:rPr>
                <w:b/>
                <w:color w:val="FFFFFF"/>
                <w:sz w:val="18"/>
              </w:rPr>
              <w:t>Downstream Dependency</w:t>
            </w:r>
          </w:p>
        </w:tc>
      </w:tr>
      <w:tr w:rsidR="00FE28CC">
        <w:trPr>
          <w:jc w:val="center"/>
        </w:trPr>
        <w:tc>
          <w:tcPr>
            <w:tcW w:w="1800" w:type="dxa"/>
          </w:tcPr>
          <w:p w:rsidR="00FE28CC" w:rsidRDefault="00BE491E">
            <w:pPr>
              <w:spacing w:after="0" w:line="240" w:lineRule="auto"/>
              <w:rPr>
                <w:rFonts w:hint="eastAsia"/>
              </w:rPr>
            </w:pPr>
            <w:r>
              <w:rPr>
                <w:color w:val="1F1F1F"/>
                <w:sz w:val="18"/>
                <w:szCs w:val="18"/>
              </w:rPr>
              <w:t>Claim document ingestion</w:t>
            </w:r>
          </w:p>
        </w:tc>
        <w:tc>
          <w:tcPr>
            <w:tcW w:w="2300" w:type="dxa"/>
          </w:tcPr>
          <w:p w:rsidR="00FE28CC" w:rsidRDefault="00BE491E">
            <w:pPr>
              <w:spacing w:after="0" w:line="240" w:lineRule="auto"/>
              <w:rPr>
                <w:rFonts w:hint="eastAsia"/>
              </w:rPr>
            </w:pPr>
            <w:r>
              <w:rPr>
                <w:color w:val="1F1F1F"/>
                <w:sz w:val="18"/>
                <w:szCs w:val="18"/>
              </w:rPr>
              <w:t>Claim Intake / Extraction Agent</w:t>
            </w:r>
          </w:p>
        </w:tc>
        <w:tc>
          <w:tcPr>
            <w:tcW w:w="3300" w:type="dxa"/>
            <w:shd w:val="clear" w:color="auto" w:fill="F8F9FB"/>
          </w:tcPr>
          <w:p w:rsidR="00FE28CC" w:rsidRDefault="00BE491E">
            <w:pPr>
              <w:spacing w:after="0" w:line="240" w:lineRule="auto"/>
              <w:rPr>
                <w:rFonts w:hint="eastAsia"/>
              </w:rPr>
            </w:pPr>
            <w:r>
              <w:rPr>
                <w:color w:val="1F1F1F"/>
                <w:sz w:val="18"/>
                <w:szCs w:val="18"/>
              </w:rPr>
              <w:t xml:space="preserve">Extract extracted_claim from the PDF with Document Intelligence model </w:t>
            </w:r>
            <w:r>
              <w:rPr>
                <w:color w:val="1F1F1F"/>
                <w:sz w:val="18"/>
                <w:szCs w:val="18"/>
              </w:rPr>
              <w:t>apex-acord1-property-loss-v3 and kb-claims-intake-guide, with a confidence score per field.</w:t>
            </w:r>
          </w:p>
        </w:tc>
        <w:tc>
          <w:tcPr>
            <w:tcW w:w="2968" w:type="dxa"/>
            <w:shd w:val="clear" w:color="auto" w:fill="F8F9FB"/>
          </w:tcPr>
          <w:p w:rsidR="00FE28CC" w:rsidRDefault="00BE491E">
            <w:pPr>
              <w:spacing w:after="0" w:line="240" w:lineRule="auto"/>
              <w:rPr>
                <w:rFonts w:hint="eastAsia"/>
              </w:rPr>
            </w:pPr>
            <w:r>
              <w:rPr>
                <w:color w:val="1F1F1F"/>
                <w:sz w:val="18"/>
                <w:szCs w:val="18"/>
              </w:rPr>
              <w:t>Event Grid trigger and claims-inbox blob; di-apex-claims-prod. Next: ESC-003 gate, then the Policy Cross-Reference Agent.</w:t>
            </w:r>
          </w:p>
        </w:tc>
      </w:tr>
      <w:tr w:rsidR="00FE28CC">
        <w:trPr>
          <w:jc w:val="center"/>
        </w:trPr>
        <w:tc>
          <w:tcPr>
            <w:tcW w:w="1800" w:type="dxa"/>
          </w:tcPr>
          <w:p w:rsidR="00FE28CC" w:rsidRDefault="00BE491E">
            <w:pPr>
              <w:spacing w:after="0" w:line="240" w:lineRule="auto"/>
              <w:rPr>
                <w:rFonts w:hint="eastAsia"/>
              </w:rPr>
            </w:pPr>
            <w:r>
              <w:rPr>
                <w:color w:val="1F1F1F"/>
                <w:sz w:val="18"/>
                <w:szCs w:val="18"/>
              </w:rPr>
              <w:t>Policy cross-reference</w:t>
            </w:r>
          </w:p>
        </w:tc>
        <w:tc>
          <w:tcPr>
            <w:tcW w:w="2300" w:type="dxa"/>
          </w:tcPr>
          <w:p w:rsidR="00FE28CC" w:rsidRDefault="00BE491E">
            <w:pPr>
              <w:spacing w:after="0" w:line="240" w:lineRule="auto"/>
              <w:rPr>
                <w:rFonts w:hint="eastAsia"/>
              </w:rPr>
            </w:pPr>
            <w:r>
              <w:rPr>
                <w:color w:val="1F1F1F"/>
                <w:sz w:val="18"/>
                <w:szCs w:val="18"/>
              </w:rPr>
              <w:t>Policy Cross-Reference Agent</w:t>
            </w:r>
          </w:p>
        </w:tc>
        <w:tc>
          <w:tcPr>
            <w:tcW w:w="3300" w:type="dxa"/>
            <w:shd w:val="clear" w:color="auto" w:fill="F8F9FB"/>
          </w:tcPr>
          <w:p w:rsidR="00FE28CC" w:rsidRDefault="00BE491E">
            <w:pPr>
              <w:spacing w:after="0" w:line="240" w:lineRule="auto"/>
              <w:rPr>
                <w:rFonts w:hint="eastAsia"/>
              </w:rPr>
            </w:pPr>
            <w:r>
              <w:rPr>
                <w:color w:val="1F1F1F"/>
                <w:sz w:val="18"/>
                <w:szCs w:val="18"/>
              </w:rPr>
              <w:t>Populate policy_cross_reference from view vw_policy_coverage and kb-claims-policy-wordings.</w:t>
            </w:r>
          </w:p>
        </w:tc>
        <w:tc>
          <w:tcPr>
            <w:tcW w:w="2968" w:type="dxa"/>
            <w:shd w:val="clear" w:color="auto" w:fill="F8F9FB"/>
          </w:tcPr>
          <w:p w:rsidR="00FE28CC" w:rsidRDefault="00BE491E">
            <w:pPr>
              <w:spacing w:after="0" w:line="240" w:lineRule="auto"/>
              <w:rPr>
                <w:rFonts w:hint="eastAsia"/>
              </w:rPr>
            </w:pPr>
            <w:r>
              <w:rPr>
                <w:color w:val="1F1F1F"/>
                <w:sz w:val="18"/>
                <w:szCs w:val="18"/>
              </w:rPr>
              <w:t>sqldb-apex-policy. Next: ESC-004 gate, then the Fraud and Risk Specialist.</w:t>
            </w:r>
          </w:p>
        </w:tc>
      </w:tr>
      <w:tr w:rsidR="00FE28CC">
        <w:trPr>
          <w:jc w:val="center"/>
        </w:trPr>
        <w:tc>
          <w:tcPr>
            <w:tcW w:w="1800" w:type="dxa"/>
          </w:tcPr>
          <w:p w:rsidR="00FE28CC" w:rsidRDefault="00BE491E">
            <w:pPr>
              <w:spacing w:after="0" w:line="240" w:lineRule="auto"/>
              <w:rPr>
                <w:rFonts w:hint="eastAsia"/>
              </w:rPr>
            </w:pPr>
            <w:r>
              <w:rPr>
                <w:color w:val="1F1F1F"/>
                <w:sz w:val="18"/>
                <w:szCs w:val="18"/>
              </w:rPr>
              <w:t>Fraud and public records check</w:t>
            </w:r>
          </w:p>
        </w:tc>
        <w:tc>
          <w:tcPr>
            <w:tcW w:w="2300" w:type="dxa"/>
          </w:tcPr>
          <w:p w:rsidR="00FE28CC" w:rsidRDefault="00BE491E">
            <w:pPr>
              <w:spacing w:after="0" w:line="240" w:lineRule="auto"/>
              <w:rPr>
                <w:rFonts w:hint="eastAsia"/>
              </w:rPr>
            </w:pPr>
            <w:r>
              <w:rPr>
                <w:color w:val="1F1F1F"/>
                <w:sz w:val="18"/>
                <w:szCs w:val="18"/>
              </w:rPr>
              <w:t xml:space="preserve">Fraud and Risk Specialist + </w:t>
            </w:r>
            <w:r>
              <w:rPr>
                <w:color w:val="1F1F1F"/>
                <w:sz w:val="18"/>
                <w:szCs w:val="18"/>
              </w:rPr>
              <w:t>external API</w:t>
            </w:r>
          </w:p>
        </w:tc>
        <w:tc>
          <w:tcPr>
            <w:tcW w:w="3300" w:type="dxa"/>
            <w:shd w:val="clear" w:color="auto" w:fill="F8F9FB"/>
          </w:tcPr>
          <w:p w:rsidR="00FE28CC" w:rsidRDefault="00BE491E">
            <w:pPr>
              <w:spacing w:after="0" w:line="240" w:lineRule="auto"/>
              <w:rPr>
                <w:rFonts w:hint="eastAsia"/>
              </w:rPr>
            </w:pPr>
            <w:r>
              <w:rPr>
                <w:color w:val="1F1F1F"/>
                <w:sz w:val="18"/>
                <w:szCs w:val="18"/>
              </w:rPr>
              <w:t>Run the five mandatory checks through public_records_lookup, score with score_fraud_signals, return fraud_assessment.</w:t>
            </w:r>
          </w:p>
        </w:tc>
        <w:tc>
          <w:tcPr>
            <w:tcW w:w="2968" w:type="dxa"/>
            <w:shd w:val="clear" w:color="auto" w:fill="F8F9FB"/>
          </w:tcPr>
          <w:p w:rsidR="00FE28CC" w:rsidRDefault="00BE491E">
            <w:pPr>
              <w:spacing w:after="0" w:line="240" w:lineRule="auto"/>
              <w:rPr>
                <w:rFonts w:hint="eastAsia"/>
              </w:rPr>
            </w:pPr>
            <w:r>
              <w:rPr>
                <w:b/>
                <w:color w:val="1F1F1F"/>
                <w:sz w:val="18"/>
                <w:szCs w:val="18"/>
              </w:rPr>
              <w:t>External public-records API via apim-apex-integration-prod (FN-001)</w:t>
            </w:r>
            <w:r>
              <w:rPr>
                <w:color w:val="1F1F1F"/>
                <w:sz w:val="18"/>
                <w:szCs w:val="18"/>
              </w:rPr>
              <w:t>; redis-apex-claims-prod cache. Next: routing gate.</w:t>
            </w:r>
          </w:p>
        </w:tc>
      </w:tr>
      <w:tr w:rsidR="00FE28CC">
        <w:trPr>
          <w:jc w:val="center"/>
        </w:trPr>
        <w:tc>
          <w:tcPr>
            <w:tcW w:w="1800" w:type="dxa"/>
          </w:tcPr>
          <w:p w:rsidR="00FE28CC" w:rsidRDefault="00BE491E">
            <w:pPr>
              <w:spacing w:after="0" w:line="240" w:lineRule="auto"/>
              <w:rPr>
                <w:rFonts w:hint="eastAsia"/>
              </w:rPr>
            </w:pPr>
            <w:r>
              <w:rPr>
                <w:color w:val="1F1F1F"/>
                <w:sz w:val="18"/>
                <w:szCs w:val="18"/>
              </w:rPr>
              <w:t>A2A h</w:t>
            </w:r>
            <w:r>
              <w:rPr>
                <w:color w:val="1F1F1F"/>
                <w:sz w:val="18"/>
                <w:szCs w:val="18"/>
              </w:rPr>
              <w:t>andoff</w:t>
            </w:r>
          </w:p>
        </w:tc>
        <w:tc>
          <w:tcPr>
            <w:tcW w:w="2300" w:type="dxa"/>
          </w:tcPr>
          <w:p w:rsidR="00FE28CC" w:rsidRDefault="00BE491E">
            <w:pPr>
              <w:spacing w:after="0" w:line="240" w:lineRule="auto"/>
              <w:rPr>
                <w:rFonts w:hint="eastAsia"/>
              </w:rPr>
            </w:pPr>
            <w:r>
              <w:rPr>
                <w:color w:val="1F1F1F"/>
                <w:sz w:val="18"/>
                <w:szCs w:val="18"/>
              </w:rPr>
              <w:t>Fraud and Risk Specialist → Settlement Specialist (brokered by the Claims Workflow Controller)</w:t>
            </w:r>
          </w:p>
        </w:tc>
        <w:tc>
          <w:tcPr>
            <w:tcW w:w="3300" w:type="dxa"/>
            <w:shd w:val="clear" w:color="auto" w:fill="F8F9FB"/>
          </w:tcPr>
          <w:p w:rsidR="00FE28CC" w:rsidRDefault="00BE491E">
            <w:pPr>
              <w:spacing w:after="0" w:line="240" w:lineRule="auto"/>
              <w:rPr>
                <w:rFonts w:hint="eastAsia"/>
              </w:rPr>
            </w:pPr>
            <w:r>
              <w:rPr>
                <w:color w:val="1F1F1F"/>
                <w:sz w:val="18"/>
                <w:szCs w:val="18"/>
              </w:rPr>
              <w:t>Apply routing rules, project the 19-field payload, redact PII, authenticate as uami-claims-workflow-controller, send A2A message/send with contextId = cor</w:t>
            </w:r>
            <w:r>
              <w:rPr>
                <w:color w:val="1F1F1F"/>
                <w:sz w:val="18"/>
                <w:szCs w:val="18"/>
              </w:rPr>
              <w:t>relation_id.</w:t>
            </w:r>
          </w:p>
        </w:tc>
        <w:tc>
          <w:tcPr>
            <w:tcW w:w="2968" w:type="dxa"/>
            <w:shd w:val="clear" w:color="auto" w:fill="F8F9FB"/>
          </w:tcPr>
          <w:p w:rsidR="00FE28CC" w:rsidRDefault="00BE491E">
            <w:pPr>
              <w:spacing w:after="0" w:line="240" w:lineRule="auto"/>
              <w:rPr>
                <w:rFonts w:hint="eastAsia"/>
              </w:rPr>
            </w:pPr>
            <w:r>
              <w:rPr>
                <w:color w:val="1F1F1F"/>
                <w:sz w:val="18"/>
                <w:szCs w:val="18"/>
              </w:rPr>
              <w:t xml:space="preserve">lang-apex-claims-prod (redaction), Entra ID, appi-apex-claims-prod (span a2a.handoff, </w:t>
            </w:r>
            <w:r>
              <w:rPr>
                <w:b/>
                <w:color w:val="1F1F1F"/>
                <w:sz w:val="18"/>
                <w:szCs w:val="18"/>
              </w:rPr>
              <w:t>FN-003</w:t>
            </w:r>
            <w:r>
              <w:rPr>
                <w:color w:val="1F1F1F"/>
                <w:sz w:val="18"/>
                <w:szCs w:val="18"/>
              </w:rPr>
              <w:t>). Next: Settlement Specialist.</w:t>
            </w:r>
          </w:p>
        </w:tc>
      </w:tr>
      <w:tr w:rsidR="00FE28CC">
        <w:trPr>
          <w:jc w:val="center"/>
        </w:trPr>
        <w:tc>
          <w:tcPr>
            <w:tcW w:w="1800" w:type="dxa"/>
          </w:tcPr>
          <w:p w:rsidR="00FE28CC" w:rsidRDefault="00BE491E">
            <w:pPr>
              <w:spacing w:after="0" w:line="240" w:lineRule="auto"/>
              <w:rPr>
                <w:rFonts w:hint="eastAsia"/>
              </w:rPr>
            </w:pPr>
            <w:r>
              <w:rPr>
                <w:color w:val="1F1F1F"/>
                <w:sz w:val="18"/>
                <w:szCs w:val="18"/>
              </w:rPr>
              <w:t>Settlement output</w:t>
            </w:r>
          </w:p>
        </w:tc>
        <w:tc>
          <w:tcPr>
            <w:tcW w:w="2300" w:type="dxa"/>
          </w:tcPr>
          <w:p w:rsidR="00FE28CC" w:rsidRDefault="00BE491E">
            <w:pPr>
              <w:spacing w:after="0" w:line="240" w:lineRule="auto"/>
              <w:rPr>
                <w:rFonts w:hint="eastAsia"/>
              </w:rPr>
            </w:pPr>
            <w:r>
              <w:rPr>
                <w:color w:val="1F1F1F"/>
                <w:sz w:val="18"/>
                <w:szCs w:val="18"/>
              </w:rPr>
              <w:t>Settlement Specialist</w:t>
            </w:r>
          </w:p>
        </w:tc>
        <w:tc>
          <w:tcPr>
            <w:tcW w:w="3300" w:type="dxa"/>
            <w:shd w:val="clear" w:color="auto" w:fill="F8F9FB"/>
          </w:tcPr>
          <w:p w:rsidR="00FE28CC" w:rsidRDefault="00BE491E">
            <w:pPr>
              <w:spacing w:after="0" w:line="240" w:lineRule="auto"/>
              <w:rPr>
                <w:rFonts w:hint="eastAsia"/>
              </w:rPr>
            </w:pPr>
            <w:r>
              <w:rPr>
                <w:color w:val="1F1F1F"/>
                <w:sz w:val="18"/>
                <w:szCs w:val="18"/>
              </w:rPr>
              <w:t>Draft letter sections with merge tokens and recommended_settlement_amount_usd</w:t>
            </w:r>
            <w:r>
              <w:rPr>
                <w:color w:val="1F1F1F"/>
                <w:sz w:val="18"/>
                <w:szCs w:val="18"/>
              </w:rPr>
              <w:t xml:space="preserve"> (from calculate_settlement), grounded on kb-claims-settlement-templates.</w:t>
            </w:r>
          </w:p>
        </w:tc>
        <w:tc>
          <w:tcPr>
            <w:tcW w:w="2968" w:type="dxa"/>
            <w:shd w:val="clear" w:color="auto" w:fill="F8F9FB"/>
          </w:tcPr>
          <w:p w:rsidR="00FE28CC" w:rsidRDefault="00BE491E">
            <w:pPr>
              <w:spacing w:after="0" w:line="240" w:lineRule="auto"/>
              <w:rPr>
                <w:rFonts w:hint="eastAsia"/>
              </w:rPr>
            </w:pPr>
            <w:r>
              <w:rPr>
                <w:b/>
                <w:color w:val="1F1F1F"/>
                <w:sz w:val="18"/>
                <w:szCs w:val="18"/>
              </w:rPr>
              <w:t>Validation gate V1 to V9 (FN-002)</w:t>
            </w:r>
            <w:r>
              <w:rPr>
                <w:color w:val="1F1F1F"/>
                <w:sz w:val="18"/>
                <w:szCs w:val="18"/>
              </w:rPr>
              <w:t>, then the Letter Rendering Service, then the adjuster review queue.</w:t>
            </w:r>
          </w:p>
        </w:tc>
      </w:tr>
    </w:tbl>
    <w:p w:rsidR="00FE28CC" w:rsidRDefault="00FE28CC">
      <w:pPr>
        <w:rPr>
          <w:rFonts w:hint="eastAsia"/>
        </w:rPr>
      </w:pPr>
    </w:p>
    <w:p w:rsidR="00FE28CC" w:rsidRDefault="00BE491E">
      <w:pPr>
        <w:keepNext/>
        <w:spacing w:after="0"/>
        <w:jc w:val="center"/>
        <w:rPr>
          <w:rFonts w:hint="eastAsia"/>
        </w:rPr>
      </w:pPr>
      <w:r>
        <w:rPr>
          <w:noProof/>
          <w:lang w:val="en-MY" w:eastAsia="en-MY"/>
        </w:rPr>
        <w:lastRenderedPageBreak/>
        <w:drawing>
          <wp:inline distT="0" distB="0" distL="0" distR="0">
            <wp:extent cx="5669280" cy="430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4_failure_nodes.png"/>
                    <pic:cNvPicPr/>
                  </pic:nvPicPr>
                  <pic:blipFill>
                    <a:blip r:embed="rId6"/>
                    <a:stretch>
                      <a:fillRect/>
                    </a:stretch>
                  </pic:blipFill>
                  <pic:spPr>
                    <a:xfrm>
                      <a:off x="0" y="0"/>
                      <a:ext cx="5669280" cy="4307300"/>
                    </a:xfrm>
                    <a:prstGeom prst="rect">
                      <a:avLst/>
                    </a:prstGeom>
                  </pic:spPr>
                </pic:pic>
              </a:graphicData>
            </a:graphic>
          </wp:inline>
        </w:drawing>
      </w:r>
    </w:p>
    <w:p w:rsidR="00FE28CC" w:rsidRDefault="00BE491E">
      <w:pPr>
        <w:spacing w:before="60" w:after="160" w:line="240" w:lineRule="auto"/>
        <w:jc w:val="center"/>
        <w:rPr>
          <w:rFonts w:hint="eastAsia"/>
        </w:rPr>
      </w:pPr>
      <w:r>
        <w:rPr>
          <w:i/>
          <w:color w:val="595959"/>
          <w:sz w:val="17"/>
          <w:szCs w:val="17"/>
        </w:rPr>
        <w:t>Figure 1. The three failure nodes mapped onto the Claims workflow from Sections 2 and 3</w:t>
      </w:r>
    </w:p>
    <w:p w:rsidR="00FE28CC" w:rsidRDefault="00FE28CC">
      <w:pPr>
        <w:rPr>
          <w:rFonts w:hint="eastAsia"/>
        </w:rPr>
      </w:pPr>
    </w:p>
    <w:p w:rsidR="00FE28CC" w:rsidRDefault="00BE491E">
      <w:pPr>
        <w:pStyle w:val="Heading2"/>
      </w:pPr>
      <w:r>
        <w:t>2. Failure Node Assessment</w:t>
      </w:r>
    </w:p>
    <w:tbl>
      <w:tblPr>
        <w:tblStyle w:val="TableGrid"/>
        <w:tblW w:w="10368" w:type="dxa"/>
        <w:jc w:val="center"/>
        <w:tblLook w:val="04A0" w:firstRow="1" w:lastRow="0" w:firstColumn="1" w:lastColumn="0" w:noHBand="0" w:noVBand="1"/>
      </w:tblPr>
      <w:tblGrid>
        <w:gridCol w:w="806"/>
        <w:gridCol w:w="1876"/>
        <w:gridCol w:w="3036"/>
        <w:gridCol w:w="1235"/>
        <w:gridCol w:w="1503"/>
        <w:gridCol w:w="1912"/>
      </w:tblGrid>
      <w:tr w:rsidR="00FE28CC">
        <w:trPr>
          <w:tblHeader/>
          <w:jc w:val="center"/>
        </w:trPr>
        <w:tc>
          <w:tcPr>
            <w:tcW w:w="1000" w:type="dxa"/>
            <w:shd w:val="clear" w:color="auto" w:fill="1F4E79"/>
          </w:tcPr>
          <w:p w:rsidR="00FE28CC" w:rsidRDefault="00BE491E">
            <w:pPr>
              <w:spacing w:after="0" w:line="240" w:lineRule="auto"/>
              <w:rPr>
                <w:rFonts w:hint="eastAsia"/>
              </w:rPr>
            </w:pPr>
            <w:r>
              <w:rPr>
                <w:b/>
                <w:color w:val="FFFFFF"/>
                <w:sz w:val="18"/>
              </w:rPr>
              <w:t>Failure Node ID</w:t>
            </w:r>
          </w:p>
        </w:tc>
        <w:tc>
          <w:tcPr>
            <w:tcW w:w="1850" w:type="dxa"/>
            <w:shd w:val="clear" w:color="auto" w:fill="1F4E79"/>
          </w:tcPr>
          <w:p w:rsidR="00FE28CC" w:rsidRDefault="00BE491E">
            <w:pPr>
              <w:spacing w:after="0" w:line="240" w:lineRule="auto"/>
              <w:rPr>
                <w:rFonts w:hint="eastAsia"/>
              </w:rPr>
            </w:pPr>
            <w:r>
              <w:rPr>
                <w:b/>
                <w:color w:val="FFFFFF"/>
                <w:sz w:val="18"/>
              </w:rPr>
              <w:t>Specific Architecture Point</w:t>
            </w:r>
          </w:p>
        </w:tc>
        <w:tc>
          <w:tcPr>
            <w:tcW w:w="1750" w:type="dxa"/>
            <w:shd w:val="clear" w:color="auto" w:fill="1F4E79"/>
          </w:tcPr>
          <w:p w:rsidR="00FE28CC" w:rsidRDefault="00BE491E">
            <w:pPr>
              <w:spacing w:after="0" w:line="240" w:lineRule="auto"/>
              <w:rPr>
                <w:rFonts w:hint="eastAsia"/>
              </w:rPr>
            </w:pPr>
            <w:r>
              <w:rPr>
                <w:b/>
                <w:color w:val="FFFFFF"/>
                <w:sz w:val="18"/>
              </w:rPr>
              <w:t>Failure Description</w:t>
            </w:r>
          </w:p>
        </w:tc>
        <w:tc>
          <w:tcPr>
            <w:tcW w:w="1950" w:type="dxa"/>
            <w:shd w:val="clear" w:color="auto" w:fill="1F4E79"/>
          </w:tcPr>
          <w:p w:rsidR="00FE28CC" w:rsidRDefault="00BE491E">
            <w:pPr>
              <w:spacing w:after="0" w:line="240" w:lineRule="auto"/>
              <w:rPr>
                <w:rFonts w:hint="eastAsia"/>
              </w:rPr>
            </w:pPr>
            <w:r>
              <w:rPr>
                <w:b/>
                <w:color w:val="FFFFFF"/>
                <w:sz w:val="18"/>
              </w:rPr>
              <w:t>Impact if Unhandled</w:t>
            </w:r>
          </w:p>
        </w:tc>
        <w:tc>
          <w:tcPr>
            <w:tcW w:w="1800" w:type="dxa"/>
            <w:shd w:val="clear" w:color="auto" w:fill="1F4E79"/>
          </w:tcPr>
          <w:p w:rsidR="00FE28CC" w:rsidRDefault="00BE491E">
            <w:pPr>
              <w:spacing w:after="0" w:line="240" w:lineRule="auto"/>
              <w:rPr>
                <w:rFonts w:hint="eastAsia"/>
              </w:rPr>
            </w:pPr>
            <w:r>
              <w:rPr>
                <w:b/>
                <w:color w:val="FFFFFF"/>
                <w:sz w:val="18"/>
              </w:rPr>
              <w:t>Selected Error Handling Pattern</w:t>
            </w:r>
          </w:p>
        </w:tc>
        <w:tc>
          <w:tcPr>
            <w:tcW w:w="2018" w:type="dxa"/>
            <w:shd w:val="clear" w:color="auto" w:fill="1F4E79"/>
          </w:tcPr>
          <w:p w:rsidR="00FE28CC" w:rsidRDefault="00BE491E">
            <w:pPr>
              <w:spacing w:after="0" w:line="240" w:lineRule="auto"/>
              <w:rPr>
                <w:rFonts w:hint="eastAsia"/>
              </w:rPr>
            </w:pPr>
            <w:r>
              <w:rPr>
                <w:b/>
                <w:color w:val="FFFFFF"/>
                <w:sz w:val="18"/>
              </w:rPr>
              <w:t>Rationale</w:t>
            </w:r>
          </w:p>
        </w:tc>
      </w:tr>
      <w:tr w:rsidR="00FE28CC">
        <w:trPr>
          <w:jc w:val="center"/>
        </w:trPr>
        <w:tc>
          <w:tcPr>
            <w:tcW w:w="1000" w:type="dxa"/>
          </w:tcPr>
          <w:p w:rsidR="00FE28CC" w:rsidRDefault="00BE491E">
            <w:pPr>
              <w:spacing w:after="0" w:line="240" w:lineRule="auto"/>
              <w:rPr>
                <w:rFonts w:hint="eastAsia"/>
              </w:rPr>
            </w:pPr>
            <w:r>
              <w:rPr>
                <w:color w:val="1F1F1F"/>
                <w:sz w:val="18"/>
                <w:szCs w:val="18"/>
              </w:rPr>
              <w:t>FN-001</w:t>
            </w:r>
          </w:p>
        </w:tc>
        <w:tc>
          <w:tcPr>
            <w:tcW w:w="1850" w:type="dxa"/>
          </w:tcPr>
          <w:p w:rsidR="00FE28CC" w:rsidRDefault="00BE491E">
            <w:pPr>
              <w:spacing w:after="0" w:line="240" w:lineRule="auto"/>
              <w:rPr>
                <w:rFonts w:hint="eastAsia"/>
              </w:rPr>
            </w:pPr>
            <w:r>
              <w:rPr>
                <w:color w:val="1F1F1F"/>
                <w:sz w:val="18"/>
                <w:szCs w:val="18"/>
              </w:rPr>
              <w:t>External API dependency in the fraud and public-records check: Fraud and Risk Specialist tool public_records_lookup → APIM backend public-records-v1 → vendor API (Section 2, Part B pillar 4; Section 3, item 2).</w:t>
            </w:r>
          </w:p>
        </w:tc>
        <w:tc>
          <w:tcPr>
            <w:tcW w:w="1750" w:type="dxa"/>
            <w:shd w:val="clear" w:color="auto" w:fill="F8F9FB"/>
          </w:tcPr>
          <w:p w:rsidR="00FE28CC" w:rsidRDefault="00BE491E">
            <w:pPr>
              <w:spacing w:after="0" w:line="240" w:lineRule="auto"/>
              <w:rPr>
                <w:rFonts w:hint="eastAsia"/>
              </w:rPr>
            </w:pPr>
            <w:r>
              <w:rPr>
                <w:color w:val="1F1F1F"/>
                <w:sz w:val="18"/>
                <w:szCs w:val="18"/>
              </w:rPr>
              <w:t>Vendor outage, timeouts above 8 seconds, HTTP</w:t>
            </w:r>
            <w:r>
              <w:rPr>
                <w:color w:val="1F1F1F"/>
                <w:sz w:val="18"/>
                <w:szCs w:val="18"/>
              </w:rPr>
              <w:t xml:space="preserve"> 429 throttling or 5xx errors. Outages last minutes to hours, so every claim in flight hits the same failure at once.</w:t>
            </w:r>
          </w:p>
        </w:tc>
        <w:tc>
          <w:tcPr>
            <w:tcW w:w="1950" w:type="dxa"/>
            <w:shd w:val="clear" w:color="auto" w:fill="F8F9FB"/>
          </w:tcPr>
          <w:p w:rsidR="00FE28CC" w:rsidRDefault="00BE491E">
            <w:pPr>
              <w:spacing w:after="0" w:line="240" w:lineRule="auto"/>
              <w:rPr>
                <w:rFonts w:hint="eastAsia"/>
              </w:rPr>
            </w:pPr>
            <w:r>
              <w:rPr>
                <w:color w:val="1F1F1F"/>
                <w:sz w:val="18"/>
                <w:szCs w:val="18"/>
              </w:rPr>
              <w:t>The agent either loops on retries (burning tokens and vendor quota) or finishes with missing evidence. A missing check can read as “no adv</w:t>
            </w:r>
            <w:r>
              <w:rPr>
                <w:color w:val="1F1F1F"/>
                <w:sz w:val="18"/>
                <w:szCs w:val="18"/>
              </w:rPr>
              <w:t xml:space="preserve">erse records”, giving a false LOW score that hands a possibly fraudulent claim to Settlement. Or the workflow stalls and Settlement receives </w:t>
            </w:r>
            <w:r>
              <w:rPr>
                <w:color w:val="1F1F1F"/>
                <w:sz w:val="18"/>
                <w:szCs w:val="18"/>
              </w:rPr>
              <w:lastRenderedPageBreak/>
              <w:t>empty fields, producing the blank or incomplete letter the scenario prohibits.</w:t>
            </w:r>
          </w:p>
        </w:tc>
        <w:tc>
          <w:tcPr>
            <w:tcW w:w="1800" w:type="dxa"/>
          </w:tcPr>
          <w:p w:rsidR="00FE28CC" w:rsidRDefault="00BE491E">
            <w:pPr>
              <w:spacing w:after="0" w:line="240" w:lineRule="auto"/>
              <w:rPr>
                <w:rFonts w:hint="eastAsia"/>
              </w:rPr>
            </w:pPr>
            <w:r>
              <w:rPr>
                <w:b/>
                <w:color w:val="1F1F1F"/>
                <w:sz w:val="18"/>
                <w:szCs w:val="18"/>
              </w:rPr>
              <w:lastRenderedPageBreak/>
              <w:t>Circuit breaker</w:t>
            </w:r>
            <w:r>
              <w:rPr>
                <w:color w:val="1F1F1F"/>
                <w:sz w:val="18"/>
                <w:szCs w:val="18"/>
              </w:rPr>
              <w:t xml:space="preserve"> (APIM backend circui</w:t>
            </w:r>
            <w:r>
              <w:rPr>
                <w:color w:val="1F1F1F"/>
                <w:sz w:val="18"/>
                <w:szCs w:val="18"/>
              </w:rPr>
              <w:t>t-breaker rule) with bounded retry inside it and a two-tier fallback: recent cached result, then checkpointed hold.</w:t>
            </w:r>
          </w:p>
        </w:tc>
        <w:tc>
          <w:tcPr>
            <w:tcW w:w="2018" w:type="dxa"/>
          </w:tcPr>
          <w:p w:rsidR="00FE28CC" w:rsidRDefault="00BE491E">
            <w:pPr>
              <w:spacing w:after="0" w:line="240" w:lineRule="auto"/>
              <w:rPr>
                <w:rFonts w:hint="eastAsia"/>
              </w:rPr>
            </w:pPr>
            <w:r>
              <w:rPr>
                <w:color w:val="1F1F1F"/>
                <w:sz w:val="18"/>
                <w:szCs w:val="18"/>
              </w:rPr>
              <w:t>Retry alone is insufficient. During a sustained outage, retries multiply load on a failing vendor (retry storm), hold workflow instances ope</w:t>
            </w:r>
            <w:r>
              <w:rPr>
                <w:color w:val="1F1F1F"/>
                <w:sz w:val="18"/>
                <w:szCs w:val="18"/>
              </w:rPr>
              <w:t>n and still end in failure. The breaker fails fast once the threshold is crossed, moves every claim to the fallback without calling the vendor, and probes for recovery. The fallback never guesses a score: a claim either uses a recent real result or waits.</w:t>
            </w:r>
          </w:p>
        </w:tc>
      </w:tr>
      <w:tr w:rsidR="00FE28CC">
        <w:trPr>
          <w:jc w:val="center"/>
        </w:trPr>
        <w:tc>
          <w:tcPr>
            <w:tcW w:w="1000" w:type="dxa"/>
          </w:tcPr>
          <w:p w:rsidR="00FE28CC" w:rsidRDefault="00BE491E">
            <w:pPr>
              <w:spacing w:after="0" w:line="240" w:lineRule="auto"/>
              <w:rPr>
                <w:rFonts w:hint="eastAsia"/>
              </w:rPr>
            </w:pPr>
            <w:r>
              <w:rPr>
                <w:color w:val="1F1F1F"/>
                <w:sz w:val="18"/>
                <w:szCs w:val="18"/>
              </w:rPr>
              <w:t>FN-002</w:t>
            </w:r>
          </w:p>
        </w:tc>
        <w:tc>
          <w:tcPr>
            <w:tcW w:w="1850" w:type="dxa"/>
          </w:tcPr>
          <w:p w:rsidR="00FE28CC" w:rsidRDefault="00BE491E">
            <w:pPr>
              <w:spacing w:after="0" w:line="240" w:lineRule="auto"/>
              <w:rPr>
                <w:rFonts w:hint="eastAsia"/>
              </w:rPr>
            </w:pPr>
            <w:r>
              <w:rPr>
                <w:color w:val="1F1F1F"/>
                <w:sz w:val="18"/>
                <w:szCs w:val="18"/>
              </w:rPr>
              <w:t>Settlement Specialist output validation: between the Settlement Specialist’s settlement output and the Letter Rendering Service (Section 2, ESC-007; Section 3, Figure 1 validation gate).</w:t>
            </w:r>
          </w:p>
        </w:tc>
        <w:tc>
          <w:tcPr>
            <w:tcW w:w="1750" w:type="dxa"/>
            <w:shd w:val="clear" w:color="auto" w:fill="F8F9FB"/>
          </w:tcPr>
          <w:p w:rsidR="00FE28CC" w:rsidRDefault="00BE491E">
            <w:pPr>
              <w:spacing w:after="0" w:line="240" w:lineRule="auto"/>
              <w:rPr>
                <w:rFonts w:hint="eastAsia"/>
              </w:rPr>
            </w:pPr>
            <w:r>
              <w:rPr>
                <w:color w:val="1F1F1F"/>
                <w:sz w:val="18"/>
                <w:szCs w:val="18"/>
              </w:rPr>
              <w:t>LLM output is malformed or incomplete: invalid JSON or schema</w:t>
            </w:r>
            <w:r>
              <w:rPr>
                <w:color w:val="1F1F1F"/>
                <w:sz w:val="18"/>
                <w:szCs w:val="18"/>
              </w:rPr>
              <w:t>; a required letter section missing or empty; unknown or unresolved merge tokens; recommended_settlement_amount_usd inconsistent with limit and deductible; wrong state disclosure clause; or a raw PII pattern in generated text.</w:t>
            </w:r>
          </w:p>
        </w:tc>
        <w:tc>
          <w:tcPr>
            <w:tcW w:w="1950" w:type="dxa"/>
            <w:shd w:val="clear" w:color="auto" w:fill="F8F9FB"/>
          </w:tcPr>
          <w:p w:rsidR="00FE28CC" w:rsidRDefault="00BE491E">
            <w:pPr>
              <w:spacing w:after="0" w:line="240" w:lineRule="auto"/>
              <w:rPr>
                <w:rFonts w:hint="eastAsia"/>
              </w:rPr>
            </w:pPr>
            <w:r>
              <w:rPr>
                <w:color w:val="1F1F1F"/>
                <w:sz w:val="18"/>
                <w:szCs w:val="18"/>
              </w:rPr>
              <w:t xml:space="preserve">A blank, incomplete or wrong </w:t>
            </w:r>
            <w:r>
              <w:rPr>
                <w:color w:val="1F1F1F"/>
                <w:sz w:val="18"/>
                <w:szCs w:val="18"/>
              </w:rPr>
              <w:t>settlement letter reaches an adjuster or the insured. That means regulatory exposure under state unfair claims settlement practices rules, over- or under-payment, and PII disclosure if the model leaks a name or account number.</w:t>
            </w:r>
          </w:p>
        </w:tc>
        <w:tc>
          <w:tcPr>
            <w:tcW w:w="1800" w:type="dxa"/>
          </w:tcPr>
          <w:p w:rsidR="00FE28CC" w:rsidRDefault="00BE491E">
            <w:pPr>
              <w:spacing w:after="0" w:line="240" w:lineRule="auto"/>
              <w:rPr>
                <w:rFonts w:hint="eastAsia"/>
              </w:rPr>
            </w:pPr>
            <w:r>
              <w:rPr>
                <w:b/>
                <w:color w:val="1F1F1F"/>
                <w:sz w:val="18"/>
                <w:szCs w:val="18"/>
              </w:rPr>
              <w:t>Validation failure branch:</w:t>
            </w:r>
            <w:r>
              <w:rPr>
                <w:color w:val="1F1F1F"/>
                <w:sz w:val="18"/>
                <w:szCs w:val="18"/>
              </w:rPr>
              <w:t xml:space="preserve"> de</w:t>
            </w:r>
            <w:r>
              <w:rPr>
                <w:color w:val="1F1F1F"/>
                <w:sz w:val="18"/>
                <w:szCs w:val="18"/>
              </w:rPr>
              <w:t>terministic validator (JSON Schema plus rules V1 to V9, Table 3a) as a hard gate; one regeneration with field-level errors; then manual drafting (ESC-007).</w:t>
            </w:r>
          </w:p>
        </w:tc>
        <w:tc>
          <w:tcPr>
            <w:tcW w:w="2018" w:type="dxa"/>
          </w:tcPr>
          <w:p w:rsidR="00FE28CC" w:rsidRDefault="00BE491E">
            <w:pPr>
              <w:spacing w:after="0" w:line="240" w:lineRule="auto"/>
              <w:rPr>
                <w:rFonts w:hint="eastAsia"/>
              </w:rPr>
            </w:pPr>
            <w:r>
              <w:rPr>
                <w:color w:val="1F1F1F"/>
                <w:sz w:val="18"/>
                <w:szCs w:val="18"/>
              </w:rPr>
              <w:t>Downstream protection: the renderer accepts only output with letter_validation_status = PASSED, so a</w:t>
            </w:r>
            <w:r>
              <w:rPr>
                <w:color w:val="1F1F1F"/>
                <w:sz w:val="18"/>
                <w:szCs w:val="18"/>
              </w:rPr>
              <w:t>n unvalidated letter can never be rendered. A blind retry of a generative step can fail in a new way, so retries are capped at one, with the error list as context; after that a person drafts the letter.</w:t>
            </w:r>
          </w:p>
        </w:tc>
      </w:tr>
      <w:tr w:rsidR="00FE28CC">
        <w:trPr>
          <w:jc w:val="center"/>
        </w:trPr>
        <w:tc>
          <w:tcPr>
            <w:tcW w:w="1000" w:type="dxa"/>
          </w:tcPr>
          <w:p w:rsidR="00FE28CC" w:rsidRDefault="00BE491E">
            <w:pPr>
              <w:spacing w:after="0" w:line="240" w:lineRule="auto"/>
              <w:rPr>
                <w:rFonts w:hint="eastAsia"/>
              </w:rPr>
            </w:pPr>
            <w:r>
              <w:rPr>
                <w:color w:val="1F1F1F"/>
                <w:sz w:val="18"/>
                <w:szCs w:val="18"/>
              </w:rPr>
              <w:t>FN-003</w:t>
            </w:r>
          </w:p>
        </w:tc>
        <w:tc>
          <w:tcPr>
            <w:tcW w:w="1850" w:type="dxa"/>
          </w:tcPr>
          <w:p w:rsidR="00FE28CC" w:rsidRDefault="00BE491E">
            <w:pPr>
              <w:spacing w:after="0" w:line="240" w:lineRule="auto"/>
              <w:rPr>
                <w:rFonts w:hint="eastAsia"/>
              </w:rPr>
            </w:pPr>
            <w:r>
              <w:rPr>
                <w:color w:val="1F1F1F"/>
                <w:sz w:val="18"/>
                <w:szCs w:val="18"/>
              </w:rPr>
              <w:t>Agent interaction observability at the A2A ha</w:t>
            </w:r>
            <w:r>
              <w:rPr>
                <w:color w:val="1F1F1F"/>
                <w:sz w:val="18"/>
                <w:szCs w:val="18"/>
              </w:rPr>
              <w:t>ndoff Fraud and Risk Specialist → Settlement Specialist, brokered by the Claims Workflow Controller (Section 3, items 3.2 and 3.4), plus the invoke_agent spans of all four agents.</w:t>
            </w:r>
          </w:p>
        </w:tc>
        <w:tc>
          <w:tcPr>
            <w:tcW w:w="1750" w:type="dxa"/>
            <w:shd w:val="clear" w:color="auto" w:fill="F8F9FB"/>
          </w:tcPr>
          <w:p w:rsidR="00FE28CC" w:rsidRDefault="00BE491E">
            <w:pPr>
              <w:spacing w:after="0" w:line="240" w:lineRule="auto"/>
              <w:rPr>
                <w:rFonts w:hint="eastAsia"/>
              </w:rPr>
            </w:pPr>
            <w:r>
              <w:rPr>
                <w:color w:val="1F1F1F"/>
                <w:sz w:val="18"/>
                <w:szCs w:val="18"/>
              </w:rPr>
              <w:t>Spans missing or unlinked: correlation_id dropped between hops, exporter mis</w:t>
            </w:r>
            <w:r>
              <w:rPr>
                <w:color w:val="1F1F1F"/>
                <w:sz w:val="18"/>
                <w:szCs w:val="18"/>
              </w:rPr>
              <w:t>configured after a deployment, sampling discards handoff spans, or a developer logs the full payload, including PII, while debugging.</w:t>
            </w:r>
          </w:p>
        </w:tc>
        <w:tc>
          <w:tcPr>
            <w:tcW w:w="1950" w:type="dxa"/>
            <w:shd w:val="clear" w:color="auto" w:fill="F8F9FB"/>
          </w:tcPr>
          <w:p w:rsidR="00FE28CC" w:rsidRDefault="00BE491E">
            <w:pPr>
              <w:spacing w:after="0" w:line="240" w:lineRule="auto"/>
              <w:rPr>
                <w:rFonts w:hint="eastAsia"/>
              </w:rPr>
            </w:pPr>
            <w:r>
              <w:rPr>
                <w:color w:val="1F1F1F"/>
                <w:sz w:val="18"/>
                <w:szCs w:val="18"/>
              </w:rPr>
              <w:t>Compliance cannot reconstruct which agent produced which decision for a regulatory exam or a disputed claim, and cannot pr</w:t>
            </w:r>
            <w:r>
              <w:rPr>
                <w:color w:val="1F1F1F"/>
                <w:sz w:val="18"/>
                <w:szCs w:val="18"/>
              </w:rPr>
              <w:t>ove the SIU branch fired, so the “all interactions auditable” requirement fails silently. Logging full payloads would copy policyholder PII into telemetry, breaching state insurance data-security rules.</w:t>
            </w:r>
          </w:p>
        </w:tc>
        <w:tc>
          <w:tcPr>
            <w:tcW w:w="1800" w:type="dxa"/>
          </w:tcPr>
          <w:p w:rsidR="00FE28CC" w:rsidRDefault="00BE491E">
            <w:pPr>
              <w:spacing w:after="0" w:line="240" w:lineRule="auto"/>
              <w:rPr>
                <w:rFonts w:hint="eastAsia"/>
              </w:rPr>
            </w:pPr>
            <w:r>
              <w:rPr>
                <w:b/>
                <w:color w:val="1F1F1F"/>
                <w:sz w:val="18"/>
                <w:szCs w:val="18"/>
              </w:rPr>
              <w:t>Observability instrumentation</w:t>
            </w:r>
            <w:r>
              <w:rPr>
                <w:color w:val="1F1F1F"/>
                <w:sz w:val="18"/>
                <w:szCs w:val="18"/>
              </w:rPr>
              <w:t xml:space="preserve"> as an enforced control:</w:t>
            </w:r>
            <w:r>
              <w:rPr>
                <w:color w:val="1F1F1F"/>
                <w:sz w:val="18"/>
                <w:szCs w:val="18"/>
              </w:rPr>
              <w:t xml:space="preserve"> OpenTelemetry tracing with GenAI semantic conventions through the Azure Monitor OpenTelemetry Distro, no sampling on Claims spans, a release gate and a fail-closed handoff check.</w:t>
            </w:r>
          </w:p>
        </w:tc>
        <w:tc>
          <w:tcPr>
            <w:tcW w:w="2018" w:type="dxa"/>
          </w:tcPr>
          <w:p w:rsidR="00FE28CC" w:rsidRDefault="00BE491E">
            <w:pPr>
              <w:spacing w:after="0" w:line="240" w:lineRule="auto"/>
              <w:rPr>
                <w:rFonts w:hint="eastAsia"/>
              </w:rPr>
            </w:pPr>
            <w:r>
              <w:rPr>
                <w:color w:val="1F1F1F"/>
                <w:sz w:val="18"/>
                <w:szCs w:val="18"/>
              </w:rPr>
              <w:t>Audit requirement: each interaction must be attributable and tamper-evident.</w:t>
            </w:r>
            <w:r>
              <w:rPr>
                <w:color w:val="1F1F1F"/>
                <w:sz w:val="18"/>
                <w:szCs w:val="18"/>
              </w:rPr>
              <w:t xml:space="preserve"> The correlation ID on every span and a payload hash (not the payload) prove what was sent without storing PII. Missing telemetry is invisible at run time, so it is checked at release (synthetic claim run) and at every handoff (no correlation ID, no handof</w:t>
            </w:r>
            <w:r>
              <w:rPr>
                <w:color w:val="1F1F1F"/>
                <w:sz w:val="18"/>
                <w:szCs w:val="18"/>
              </w:rPr>
              <w:t>f).</w:t>
            </w:r>
          </w:p>
        </w:tc>
      </w:tr>
    </w:tbl>
    <w:p w:rsidR="00FE28CC" w:rsidRDefault="00BE491E">
      <w:pPr>
        <w:spacing w:before="80" w:after="60" w:line="264" w:lineRule="auto"/>
        <w:rPr>
          <w:rFonts w:hint="eastAsia"/>
        </w:rPr>
      </w:pPr>
      <w:r>
        <w:rPr>
          <w:b/>
          <w:color w:val="1F1F1F"/>
          <w:sz w:val="18"/>
          <w:szCs w:val="18"/>
        </w:rPr>
        <w:t>Why these three nodes:</w:t>
      </w:r>
      <w:r>
        <w:rPr>
          <w:color w:val="1F1F1F"/>
          <w:sz w:val="18"/>
          <w:szCs w:val="18"/>
        </w:rPr>
        <w:t xml:space="preserve"> they rank highest on likelihood × impact across the nodes in item 1. The external API is the only dependency outside Apex’s control and the direct cause of the blank-letter risk. The Settlement output is the only LLM output that</w:t>
      </w:r>
      <w:r>
        <w:rPr>
          <w:color w:val="1F1F1F"/>
          <w:sz w:val="18"/>
          <w:szCs w:val="18"/>
        </w:rPr>
        <w:t xml:space="preserve"> becomes customer-facing. The handoff is where audit evidence is most easily lost. Lower-ranked nodes are already covered: intake extraction errors by ESC-003 (confidence &lt; 0.80), policy database outages by retry against an internal SLA, and model throttli</w:t>
      </w:r>
      <w:r>
        <w:rPr>
          <w:color w:val="1F1F1F"/>
          <w:sz w:val="18"/>
          <w:szCs w:val="18"/>
        </w:rPr>
        <w:t>ng (HTTP 429) by per-Project TPM quotas and SDK retry.</w:t>
      </w:r>
    </w:p>
    <w:p w:rsidR="00FE28CC" w:rsidRDefault="00BE491E">
      <w:pPr>
        <w:spacing w:before="160" w:after="40" w:line="264" w:lineRule="auto"/>
        <w:rPr>
          <w:rFonts w:hint="eastAsia"/>
        </w:rPr>
      </w:pPr>
      <w:r>
        <w:rPr>
          <w:b/>
          <w:color w:val="1F1F1F"/>
          <w:sz w:val="18"/>
          <w:szCs w:val="18"/>
        </w:rPr>
        <w:lastRenderedPageBreak/>
        <w:t>Table 3a. Settlement output validation rules used by the FN-002 validation failure branch</w:t>
      </w:r>
    </w:p>
    <w:tbl>
      <w:tblPr>
        <w:tblStyle w:val="TableGrid"/>
        <w:tblW w:w="10368" w:type="dxa"/>
        <w:tblLook w:val="04A0" w:firstRow="1" w:lastRow="0" w:firstColumn="1" w:lastColumn="0" w:noHBand="0" w:noVBand="1"/>
      </w:tblPr>
      <w:tblGrid>
        <w:gridCol w:w="900"/>
        <w:gridCol w:w="9468"/>
      </w:tblGrid>
      <w:tr w:rsidR="00FE28CC">
        <w:trPr>
          <w:tblHeader/>
        </w:trPr>
        <w:tc>
          <w:tcPr>
            <w:tcW w:w="900" w:type="dxa"/>
            <w:shd w:val="clear" w:color="auto" w:fill="1F4E79"/>
          </w:tcPr>
          <w:p w:rsidR="00FE28CC" w:rsidRDefault="00BE491E">
            <w:pPr>
              <w:spacing w:after="0" w:line="240" w:lineRule="auto"/>
              <w:rPr>
                <w:rFonts w:hint="eastAsia"/>
              </w:rPr>
            </w:pPr>
            <w:r>
              <w:rPr>
                <w:b/>
                <w:color w:val="FFFFFF"/>
                <w:sz w:val="18"/>
                <w:szCs w:val="18"/>
              </w:rPr>
              <w:t>Rule</w:t>
            </w:r>
          </w:p>
        </w:tc>
        <w:tc>
          <w:tcPr>
            <w:tcW w:w="9468" w:type="dxa"/>
            <w:shd w:val="clear" w:color="auto" w:fill="1F4E79"/>
          </w:tcPr>
          <w:p w:rsidR="00FE28CC" w:rsidRDefault="00BE491E">
            <w:pPr>
              <w:spacing w:after="0" w:line="240" w:lineRule="auto"/>
              <w:rPr>
                <w:rFonts w:hint="eastAsia"/>
              </w:rPr>
            </w:pPr>
            <w:r>
              <w:rPr>
                <w:b/>
                <w:color w:val="FFFFFF"/>
                <w:sz w:val="18"/>
                <w:szCs w:val="18"/>
              </w:rPr>
              <w:t>Validation check on Settlement Specialist output (FN-002)</w:t>
            </w:r>
          </w:p>
        </w:tc>
      </w:tr>
      <w:tr w:rsidR="00FE28CC">
        <w:tc>
          <w:tcPr>
            <w:tcW w:w="900" w:type="dxa"/>
            <w:shd w:val="clear" w:color="auto" w:fill="F8F9FB"/>
          </w:tcPr>
          <w:p w:rsidR="00FE28CC" w:rsidRDefault="00BE491E">
            <w:pPr>
              <w:spacing w:after="0" w:line="240" w:lineRule="auto"/>
              <w:rPr>
                <w:rFonts w:hint="eastAsia"/>
              </w:rPr>
            </w:pPr>
            <w:r>
              <w:rPr>
                <w:color w:val="1F1F1F"/>
                <w:sz w:val="18"/>
                <w:szCs w:val="18"/>
              </w:rPr>
              <w:t>V1</w:t>
            </w:r>
          </w:p>
        </w:tc>
        <w:tc>
          <w:tcPr>
            <w:tcW w:w="9468" w:type="dxa"/>
          </w:tcPr>
          <w:p w:rsidR="00FE28CC" w:rsidRDefault="00BE491E">
            <w:pPr>
              <w:spacing w:after="0" w:line="240" w:lineRule="auto"/>
              <w:rPr>
                <w:rFonts w:hint="eastAsia"/>
              </w:rPr>
            </w:pPr>
            <w:r>
              <w:rPr>
                <w:color w:val="1F1F1F"/>
                <w:sz w:val="18"/>
                <w:szCs w:val="18"/>
              </w:rPr>
              <w:t>Output validates against the settlement</w:t>
            </w:r>
            <w:r>
              <w:rPr>
                <w:color w:val="1F1F1F"/>
                <w:sz w:val="18"/>
                <w:szCs w:val="18"/>
              </w:rPr>
              <w:t xml:space="preserve"> block of ClaimCaseOutput v1.0 and the letter-section schema SettlementLetterDraft v1.0.</w:t>
            </w:r>
          </w:p>
        </w:tc>
      </w:tr>
      <w:tr w:rsidR="00FE28CC">
        <w:tc>
          <w:tcPr>
            <w:tcW w:w="900" w:type="dxa"/>
            <w:shd w:val="clear" w:color="auto" w:fill="F8F9FB"/>
          </w:tcPr>
          <w:p w:rsidR="00FE28CC" w:rsidRDefault="00BE491E">
            <w:pPr>
              <w:spacing w:after="0" w:line="240" w:lineRule="auto"/>
              <w:rPr>
                <w:rFonts w:hint="eastAsia"/>
              </w:rPr>
            </w:pPr>
            <w:r>
              <w:rPr>
                <w:color w:val="1F1F1F"/>
                <w:sz w:val="18"/>
                <w:szCs w:val="18"/>
              </w:rPr>
              <w:t>V2</w:t>
            </w:r>
          </w:p>
        </w:tc>
        <w:tc>
          <w:tcPr>
            <w:tcW w:w="9468" w:type="dxa"/>
          </w:tcPr>
          <w:p w:rsidR="00FE28CC" w:rsidRDefault="00BE491E">
            <w:pPr>
              <w:spacing w:after="0" w:line="240" w:lineRule="auto"/>
              <w:rPr>
                <w:rFonts w:hint="eastAsia"/>
              </w:rPr>
            </w:pPr>
            <w:r>
              <w:rPr>
                <w:color w:val="1F1F1F"/>
                <w:sz w:val="18"/>
                <w:szCs w:val="18"/>
              </w:rPr>
              <w:t>All required letter sections are present and non-empty: claim reference, loss description, coverage summary, settlement calculation, deductible statement, exclusio</w:t>
            </w:r>
            <w:r>
              <w:rPr>
                <w:color w:val="1F1F1F"/>
                <w:sz w:val="18"/>
                <w:szCs w:val="18"/>
              </w:rPr>
              <w:t>ns cited (when coverage_status = PARTIAL), state disclosure and dispute rights.</w:t>
            </w:r>
          </w:p>
        </w:tc>
      </w:tr>
      <w:tr w:rsidR="00FE28CC">
        <w:tc>
          <w:tcPr>
            <w:tcW w:w="900" w:type="dxa"/>
            <w:shd w:val="clear" w:color="auto" w:fill="F8F9FB"/>
          </w:tcPr>
          <w:p w:rsidR="00FE28CC" w:rsidRDefault="00BE491E">
            <w:pPr>
              <w:spacing w:after="0" w:line="240" w:lineRule="auto"/>
              <w:rPr>
                <w:rFonts w:hint="eastAsia"/>
              </w:rPr>
            </w:pPr>
            <w:r>
              <w:rPr>
                <w:color w:val="1F1F1F"/>
                <w:sz w:val="18"/>
                <w:szCs w:val="18"/>
              </w:rPr>
              <w:t>V3</w:t>
            </w:r>
          </w:p>
        </w:tc>
        <w:tc>
          <w:tcPr>
            <w:tcW w:w="9468" w:type="dxa"/>
          </w:tcPr>
          <w:p w:rsidR="00FE28CC" w:rsidRDefault="00BE491E">
            <w:pPr>
              <w:spacing w:after="0" w:line="240" w:lineRule="auto"/>
              <w:rPr>
                <w:rFonts w:hint="eastAsia"/>
              </w:rPr>
            </w:pPr>
            <w:r>
              <w:rPr>
                <w:color w:val="1F1F1F"/>
                <w:sz w:val="18"/>
                <w:szCs w:val="18"/>
              </w:rPr>
              <w:t>Only approved merge tokens appear ({{INSURED_NAME}}, {{PROPERTY_ADDRESS}}, {{POLICY_NUMBER}}); no other {{…}} token and no empty placeholder.</w:t>
            </w:r>
          </w:p>
        </w:tc>
      </w:tr>
      <w:tr w:rsidR="00FE28CC">
        <w:tc>
          <w:tcPr>
            <w:tcW w:w="900" w:type="dxa"/>
            <w:shd w:val="clear" w:color="auto" w:fill="F8F9FB"/>
          </w:tcPr>
          <w:p w:rsidR="00FE28CC" w:rsidRDefault="00BE491E">
            <w:pPr>
              <w:spacing w:after="0" w:line="240" w:lineRule="auto"/>
              <w:rPr>
                <w:rFonts w:hint="eastAsia"/>
              </w:rPr>
            </w:pPr>
            <w:r>
              <w:rPr>
                <w:color w:val="1F1F1F"/>
                <w:sz w:val="18"/>
                <w:szCs w:val="18"/>
              </w:rPr>
              <w:t>V4</w:t>
            </w:r>
          </w:p>
        </w:tc>
        <w:tc>
          <w:tcPr>
            <w:tcW w:w="9468" w:type="dxa"/>
          </w:tcPr>
          <w:p w:rsidR="00FE28CC" w:rsidRDefault="00BE491E">
            <w:pPr>
              <w:spacing w:after="0" w:line="240" w:lineRule="auto"/>
              <w:rPr>
                <w:rFonts w:hint="eastAsia"/>
              </w:rPr>
            </w:pPr>
            <w:r>
              <w:rPr>
                <w:color w:val="1F1F1F"/>
                <w:sz w:val="18"/>
                <w:szCs w:val="18"/>
              </w:rPr>
              <w:t>recommended_settlement_amo</w:t>
            </w:r>
            <w:r>
              <w:rPr>
                <w:color w:val="1F1F1F"/>
                <w:sz w:val="18"/>
                <w:szCs w:val="18"/>
              </w:rPr>
              <w:t>unt_usd equals the calculate_settlement result (lower of covered loss and coverage_limit_usd, minus deductible_usd, floored at 0) to within $0.01.</w:t>
            </w:r>
          </w:p>
        </w:tc>
      </w:tr>
      <w:tr w:rsidR="00FE28CC">
        <w:tc>
          <w:tcPr>
            <w:tcW w:w="900" w:type="dxa"/>
            <w:shd w:val="clear" w:color="auto" w:fill="F8F9FB"/>
          </w:tcPr>
          <w:p w:rsidR="00FE28CC" w:rsidRDefault="00BE491E">
            <w:pPr>
              <w:spacing w:after="0" w:line="240" w:lineRule="auto"/>
              <w:rPr>
                <w:rFonts w:hint="eastAsia"/>
              </w:rPr>
            </w:pPr>
            <w:r>
              <w:rPr>
                <w:color w:val="1F1F1F"/>
                <w:sz w:val="18"/>
                <w:szCs w:val="18"/>
              </w:rPr>
              <w:t>V5</w:t>
            </w:r>
          </w:p>
        </w:tc>
        <w:tc>
          <w:tcPr>
            <w:tcW w:w="9468" w:type="dxa"/>
          </w:tcPr>
          <w:p w:rsidR="00FE28CC" w:rsidRDefault="00BE491E">
            <w:pPr>
              <w:spacing w:after="0" w:line="240" w:lineRule="auto"/>
              <w:rPr>
                <w:rFonts w:hint="eastAsia"/>
              </w:rPr>
            </w:pPr>
            <w:r>
              <w:rPr>
                <w:color w:val="1F1F1F"/>
                <w:sz w:val="18"/>
                <w:szCs w:val="18"/>
              </w:rPr>
              <w:t>recommended_settlement_amount_usd ≤ coverage_limit_usd.</w:t>
            </w:r>
          </w:p>
        </w:tc>
      </w:tr>
      <w:tr w:rsidR="00FE28CC">
        <w:tc>
          <w:tcPr>
            <w:tcW w:w="900" w:type="dxa"/>
            <w:shd w:val="clear" w:color="auto" w:fill="F8F9FB"/>
          </w:tcPr>
          <w:p w:rsidR="00FE28CC" w:rsidRDefault="00BE491E">
            <w:pPr>
              <w:spacing w:after="0" w:line="240" w:lineRule="auto"/>
              <w:rPr>
                <w:rFonts w:hint="eastAsia"/>
              </w:rPr>
            </w:pPr>
            <w:r>
              <w:rPr>
                <w:color w:val="1F1F1F"/>
                <w:sz w:val="18"/>
                <w:szCs w:val="18"/>
              </w:rPr>
              <w:t>V6</w:t>
            </w:r>
          </w:p>
        </w:tc>
        <w:tc>
          <w:tcPr>
            <w:tcW w:w="9468" w:type="dxa"/>
          </w:tcPr>
          <w:p w:rsidR="00FE28CC" w:rsidRDefault="00BE491E">
            <w:pPr>
              <w:spacing w:after="0" w:line="240" w:lineRule="auto"/>
              <w:rPr>
                <w:rFonts w:hint="eastAsia"/>
              </w:rPr>
            </w:pPr>
            <w:r>
              <w:rPr>
                <w:color w:val="1F1F1F"/>
                <w:sz w:val="18"/>
                <w:szCs w:val="18"/>
              </w:rPr>
              <w:t xml:space="preserve">The disclosure clause ID matches the </w:t>
            </w:r>
            <w:r>
              <w:rPr>
                <w:color w:val="1F1F1F"/>
                <w:sz w:val="18"/>
                <w:szCs w:val="18"/>
              </w:rPr>
              <w:t>property_location_state template in kb-claims-settlement-templates.</w:t>
            </w:r>
          </w:p>
        </w:tc>
      </w:tr>
      <w:tr w:rsidR="00FE28CC">
        <w:tc>
          <w:tcPr>
            <w:tcW w:w="900" w:type="dxa"/>
            <w:shd w:val="clear" w:color="auto" w:fill="F8F9FB"/>
          </w:tcPr>
          <w:p w:rsidR="00FE28CC" w:rsidRDefault="00BE491E">
            <w:pPr>
              <w:spacing w:after="0" w:line="240" w:lineRule="auto"/>
              <w:rPr>
                <w:rFonts w:hint="eastAsia"/>
              </w:rPr>
            </w:pPr>
            <w:r>
              <w:rPr>
                <w:color w:val="1F1F1F"/>
                <w:sz w:val="18"/>
                <w:szCs w:val="18"/>
              </w:rPr>
              <w:t>V7</w:t>
            </w:r>
          </w:p>
        </w:tc>
        <w:tc>
          <w:tcPr>
            <w:tcW w:w="9468" w:type="dxa"/>
          </w:tcPr>
          <w:p w:rsidR="00FE28CC" w:rsidRDefault="00BE491E">
            <w:pPr>
              <w:spacing w:after="0" w:line="240" w:lineRule="auto"/>
              <w:rPr>
                <w:rFonts w:hint="eastAsia"/>
              </w:rPr>
            </w:pPr>
            <w:r>
              <w:rPr>
                <w:color w:val="1F1F1F"/>
                <w:sz w:val="18"/>
                <w:szCs w:val="18"/>
              </w:rPr>
              <w:t>claim_id and correlation_id match the case record and the A2A contextId.</w:t>
            </w:r>
          </w:p>
        </w:tc>
      </w:tr>
      <w:tr w:rsidR="00FE28CC">
        <w:tc>
          <w:tcPr>
            <w:tcW w:w="900" w:type="dxa"/>
            <w:shd w:val="clear" w:color="auto" w:fill="F8F9FB"/>
          </w:tcPr>
          <w:p w:rsidR="00FE28CC" w:rsidRDefault="00BE491E">
            <w:pPr>
              <w:spacing w:after="0" w:line="240" w:lineRule="auto"/>
              <w:rPr>
                <w:rFonts w:hint="eastAsia"/>
              </w:rPr>
            </w:pPr>
            <w:r>
              <w:rPr>
                <w:color w:val="1F1F1F"/>
                <w:sz w:val="18"/>
                <w:szCs w:val="18"/>
              </w:rPr>
              <w:t>V8</w:t>
            </w:r>
          </w:p>
        </w:tc>
        <w:tc>
          <w:tcPr>
            <w:tcW w:w="9468" w:type="dxa"/>
          </w:tcPr>
          <w:p w:rsidR="00FE28CC" w:rsidRDefault="00BE491E">
            <w:pPr>
              <w:spacing w:after="0" w:line="240" w:lineRule="auto"/>
              <w:rPr>
                <w:rFonts w:hint="eastAsia"/>
              </w:rPr>
            </w:pPr>
            <w:r>
              <w:rPr>
                <w:color w:val="1F1F1F"/>
                <w:sz w:val="18"/>
                <w:szCs w:val="18"/>
              </w:rPr>
              <w:t>PII scan (Language PII detection plus regex) of the generated text finds no names, addresses, policy or acc</w:t>
            </w:r>
            <w:r>
              <w:rPr>
                <w:color w:val="1F1F1F"/>
                <w:sz w:val="18"/>
                <w:szCs w:val="18"/>
              </w:rPr>
              <w:t>ount numbers outside merge tokens.</w:t>
            </w:r>
          </w:p>
        </w:tc>
      </w:tr>
      <w:tr w:rsidR="00FE28CC">
        <w:tc>
          <w:tcPr>
            <w:tcW w:w="900" w:type="dxa"/>
            <w:shd w:val="clear" w:color="auto" w:fill="F8F9FB"/>
          </w:tcPr>
          <w:p w:rsidR="00FE28CC" w:rsidRDefault="00BE491E">
            <w:pPr>
              <w:spacing w:after="0" w:line="240" w:lineRule="auto"/>
              <w:rPr>
                <w:rFonts w:hint="eastAsia"/>
              </w:rPr>
            </w:pPr>
            <w:r>
              <w:rPr>
                <w:color w:val="1F1F1F"/>
                <w:sz w:val="18"/>
                <w:szCs w:val="18"/>
              </w:rPr>
              <w:t>V9</w:t>
            </w:r>
          </w:p>
        </w:tc>
        <w:tc>
          <w:tcPr>
            <w:tcW w:w="9468" w:type="dxa"/>
          </w:tcPr>
          <w:p w:rsidR="00FE28CC" w:rsidRDefault="00BE491E">
            <w:pPr>
              <w:spacing w:after="0" w:line="240" w:lineRule="auto"/>
              <w:rPr>
                <w:rFonts w:hint="eastAsia"/>
              </w:rPr>
            </w:pPr>
            <w:r>
              <w:rPr>
                <w:color w:val="1F1F1F"/>
                <w:sz w:val="18"/>
                <w:szCs w:val="18"/>
              </w:rPr>
              <w:t>If settlement_hold_required = true, the letter status is DRAFT_HOLD and release is disabled.</w:t>
            </w:r>
          </w:p>
        </w:tc>
      </w:tr>
    </w:tbl>
    <w:p w:rsidR="00FE28CC" w:rsidRDefault="00FE28CC">
      <w:pPr>
        <w:rPr>
          <w:rFonts w:hint="eastAsia"/>
        </w:rPr>
      </w:pPr>
    </w:p>
    <w:p w:rsidR="00FE28CC" w:rsidRDefault="00BE491E">
      <w:pPr>
        <w:pStyle w:val="Heading2"/>
      </w:pPr>
      <w:r>
        <w:t>3. Retry and Circuit Breaker Configuration</w:t>
      </w:r>
    </w:p>
    <w:tbl>
      <w:tblPr>
        <w:tblStyle w:val="TableGrid"/>
        <w:tblW w:w="10368" w:type="dxa"/>
        <w:jc w:val="center"/>
        <w:tblLook w:val="04A0" w:firstRow="1" w:lastRow="0" w:firstColumn="1" w:lastColumn="0" w:noHBand="0" w:noVBand="1"/>
      </w:tblPr>
      <w:tblGrid>
        <w:gridCol w:w="1000"/>
        <w:gridCol w:w="1450"/>
        <w:gridCol w:w="1600"/>
        <w:gridCol w:w="1900"/>
        <w:gridCol w:w="2500"/>
        <w:gridCol w:w="1918"/>
      </w:tblGrid>
      <w:tr w:rsidR="00FE28CC">
        <w:trPr>
          <w:tblHeader/>
          <w:jc w:val="center"/>
        </w:trPr>
        <w:tc>
          <w:tcPr>
            <w:tcW w:w="1000" w:type="dxa"/>
            <w:shd w:val="clear" w:color="auto" w:fill="1F4E79"/>
          </w:tcPr>
          <w:p w:rsidR="00FE28CC" w:rsidRDefault="00BE491E">
            <w:pPr>
              <w:spacing w:after="0" w:line="240" w:lineRule="auto"/>
              <w:rPr>
                <w:rFonts w:hint="eastAsia"/>
              </w:rPr>
            </w:pPr>
            <w:r>
              <w:rPr>
                <w:b/>
                <w:color w:val="FFFFFF"/>
                <w:sz w:val="18"/>
              </w:rPr>
              <w:t>Failure Node</w:t>
            </w:r>
          </w:p>
        </w:tc>
        <w:tc>
          <w:tcPr>
            <w:tcW w:w="1450" w:type="dxa"/>
            <w:shd w:val="clear" w:color="auto" w:fill="1F4E79"/>
          </w:tcPr>
          <w:p w:rsidR="00FE28CC" w:rsidRDefault="00BE491E">
            <w:pPr>
              <w:spacing w:after="0" w:line="240" w:lineRule="auto"/>
              <w:rPr>
                <w:rFonts w:hint="eastAsia"/>
              </w:rPr>
            </w:pPr>
            <w:r>
              <w:rPr>
                <w:b/>
                <w:color w:val="FFFFFF"/>
                <w:sz w:val="18"/>
              </w:rPr>
              <w:t>Retry Count</w:t>
            </w:r>
          </w:p>
        </w:tc>
        <w:tc>
          <w:tcPr>
            <w:tcW w:w="1600" w:type="dxa"/>
            <w:shd w:val="clear" w:color="auto" w:fill="1F4E79"/>
          </w:tcPr>
          <w:p w:rsidR="00FE28CC" w:rsidRDefault="00BE491E">
            <w:pPr>
              <w:spacing w:after="0" w:line="240" w:lineRule="auto"/>
              <w:rPr>
                <w:rFonts w:hint="eastAsia"/>
              </w:rPr>
            </w:pPr>
            <w:r>
              <w:rPr>
                <w:b/>
                <w:color w:val="FFFFFF"/>
                <w:sz w:val="18"/>
              </w:rPr>
              <w:t>Backoff Strategy</w:t>
            </w:r>
          </w:p>
        </w:tc>
        <w:tc>
          <w:tcPr>
            <w:tcW w:w="1900" w:type="dxa"/>
            <w:shd w:val="clear" w:color="auto" w:fill="1F4E79"/>
          </w:tcPr>
          <w:p w:rsidR="00FE28CC" w:rsidRDefault="00BE491E">
            <w:pPr>
              <w:spacing w:after="0" w:line="240" w:lineRule="auto"/>
              <w:rPr>
                <w:rFonts w:hint="eastAsia"/>
              </w:rPr>
            </w:pPr>
            <w:r>
              <w:rPr>
                <w:b/>
                <w:color w:val="FFFFFF"/>
                <w:sz w:val="18"/>
              </w:rPr>
              <w:t>Circuit Open Condition</w:t>
            </w:r>
          </w:p>
        </w:tc>
        <w:tc>
          <w:tcPr>
            <w:tcW w:w="2500" w:type="dxa"/>
            <w:shd w:val="clear" w:color="auto" w:fill="1F4E79"/>
          </w:tcPr>
          <w:p w:rsidR="00FE28CC" w:rsidRDefault="00BE491E">
            <w:pPr>
              <w:spacing w:after="0" w:line="240" w:lineRule="auto"/>
              <w:rPr>
                <w:rFonts w:hint="eastAsia"/>
              </w:rPr>
            </w:pPr>
            <w:r>
              <w:rPr>
                <w:b/>
                <w:color w:val="FFFFFF"/>
                <w:sz w:val="18"/>
              </w:rPr>
              <w:t xml:space="preserve">Fallback / </w:t>
            </w:r>
            <w:r>
              <w:rPr>
                <w:b/>
                <w:color w:val="FFFFFF"/>
                <w:sz w:val="18"/>
              </w:rPr>
              <w:t>Alternate Route</w:t>
            </w:r>
          </w:p>
        </w:tc>
        <w:tc>
          <w:tcPr>
            <w:tcW w:w="1918" w:type="dxa"/>
            <w:shd w:val="clear" w:color="auto" w:fill="1F4E79"/>
          </w:tcPr>
          <w:p w:rsidR="00FE28CC" w:rsidRDefault="00BE491E">
            <w:pPr>
              <w:spacing w:after="0" w:line="240" w:lineRule="auto"/>
              <w:rPr>
                <w:rFonts w:hint="eastAsia"/>
              </w:rPr>
            </w:pPr>
            <w:r>
              <w:rPr>
                <w:b/>
                <w:color w:val="FFFFFF"/>
                <w:sz w:val="18"/>
              </w:rPr>
              <w:t>Recovery Condition</w:t>
            </w:r>
          </w:p>
        </w:tc>
      </w:tr>
      <w:tr w:rsidR="00FE28CC">
        <w:trPr>
          <w:jc w:val="center"/>
        </w:trPr>
        <w:tc>
          <w:tcPr>
            <w:tcW w:w="1000" w:type="dxa"/>
          </w:tcPr>
          <w:p w:rsidR="00FE28CC" w:rsidRDefault="00BE491E">
            <w:pPr>
              <w:spacing w:after="0" w:line="240" w:lineRule="auto"/>
              <w:rPr>
                <w:rFonts w:hint="eastAsia"/>
              </w:rPr>
            </w:pPr>
            <w:r>
              <w:rPr>
                <w:color w:val="1F1F1F"/>
                <w:sz w:val="18"/>
                <w:szCs w:val="18"/>
              </w:rPr>
              <w:t>FN-001</w:t>
            </w:r>
          </w:p>
        </w:tc>
        <w:tc>
          <w:tcPr>
            <w:tcW w:w="1450" w:type="dxa"/>
            <w:shd w:val="clear" w:color="auto" w:fill="F8F9FB"/>
          </w:tcPr>
          <w:p w:rsidR="00FE28CC" w:rsidRDefault="00BE491E">
            <w:pPr>
              <w:spacing w:after="0" w:line="240" w:lineRule="auto"/>
              <w:rPr>
                <w:rFonts w:hint="eastAsia"/>
              </w:rPr>
            </w:pPr>
            <w:r>
              <w:rPr>
                <w:color w:val="1F1F1F"/>
                <w:sz w:val="18"/>
                <w:szCs w:val="18"/>
              </w:rPr>
              <w:t>2 retries (3 attempts in total) per lookup, only on HTTP 429, 502, 503, 504 or timeout. Never on 400, 401, 403 or 404.</w:t>
            </w:r>
          </w:p>
        </w:tc>
        <w:tc>
          <w:tcPr>
            <w:tcW w:w="1600" w:type="dxa"/>
            <w:shd w:val="clear" w:color="auto" w:fill="F8F9FB"/>
          </w:tcPr>
          <w:p w:rsidR="00FE28CC" w:rsidRDefault="00BE491E">
            <w:pPr>
              <w:spacing w:after="0" w:line="240" w:lineRule="auto"/>
              <w:rPr>
                <w:rFonts w:hint="eastAsia"/>
              </w:rPr>
            </w:pPr>
            <w:r>
              <w:rPr>
                <w:color w:val="1F1F1F"/>
                <w:sz w:val="18"/>
                <w:szCs w:val="18"/>
              </w:rPr>
              <w:t>Exponential with full jitter: base 1 s, factor 2, cap 8 s (about 1 s, then 2 s, then 4 s). Hon</w:t>
            </w:r>
            <w:r>
              <w:rPr>
                <w:color w:val="1F1F1F"/>
                <w:sz w:val="18"/>
                <w:szCs w:val="18"/>
              </w:rPr>
              <w:t>ors Retry-After. Per-attempt timeout 8 s; total budget 20 s per lookup.</w:t>
            </w:r>
          </w:p>
        </w:tc>
        <w:tc>
          <w:tcPr>
            <w:tcW w:w="1900" w:type="dxa"/>
            <w:shd w:val="clear" w:color="auto" w:fill="F8F9FB"/>
          </w:tcPr>
          <w:p w:rsidR="00FE28CC" w:rsidRDefault="00BE491E">
            <w:pPr>
              <w:spacing w:after="0" w:line="240" w:lineRule="auto"/>
              <w:rPr>
                <w:rFonts w:hint="eastAsia"/>
              </w:rPr>
            </w:pPr>
            <w:r>
              <w:rPr>
                <w:color w:val="1F1F1F"/>
                <w:sz w:val="18"/>
                <w:szCs w:val="18"/>
              </w:rPr>
              <w:t xml:space="preserve">APIM backend circuit-breaker rule trips when </w:t>
            </w:r>
            <w:r>
              <w:rPr>
                <w:b/>
                <w:color w:val="1F1F1F"/>
                <w:sz w:val="18"/>
                <w:szCs w:val="18"/>
              </w:rPr>
              <w:t>5 failures</w:t>
            </w:r>
            <w:r>
              <w:rPr>
                <w:color w:val="1F1F1F"/>
                <w:sz w:val="18"/>
                <w:szCs w:val="18"/>
              </w:rPr>
              <w:t xml:space="preserve"> (HTTP 429, 500 to 599, or timeout) occur </w:t>
            </w:r>
            <w:r>
              <w:rPr>
                <w:b/>
                <w:color w:val="1F1F1F"/>
                <w:sz w:val="18"/>
                <w:szCs w:val="18"/>
              </w:rPr>
              <w:t>within 60 seconds</w:t>
            </w:r>
            <w:r>
              <w:rPr>
                <w:color w:val="1F1F1F"/>
                <w:sz w:val="18"/>
                <w:szCs w:val="18"/>
              </w:rPr>
              <w:t xml:space="preserve">; trip duration </w:t>
            </w:r>
            <w:r>
              <w:rPr>
                <w:b/>
                <w:color w:val="1F1F1F"/>
                <w:sz w:val="18"/>
                <w:szCs w:val="18"/>
              </w:rPr>
              <w:t>120 seconds</w:t>
            </w:r>
            <w:r>
              <w:rPr>
                <w:color w:val="1F1F1F"/>
                <w:sz w:val="18"/>
                <w:szCs w:val="18"/>
              </w:rPr>
              <w:t xml:space="preserve">; Retry-After honored. While open, no call </w:t>
            </w:r>
            <w:r>
              <w:rPr>
                <w:color w:val="1F1F1F"/>
                <w:sz w:val="18"/>
                <w:szCs w:val="18"/>
              </w:rPr>
              <w:t>reaches the vendor.</w:t>
            </w:r>
          </w:p>
        </w:tc>
        <w:tc>
          <w:tcPr>
            <w:tcW w:w="2500" w:type="dxa"/>
          </w:tcPr>
          <w:p w:rsidR="00FE28CC" w:rsidRDefault="00BE491E">
            <w:pPr>
              <w:spacing w:after="40" w:line="240" w:lineRule="auto"/>
              <w:rPr>
                <w:rFonts w:hint="eastAsia"/>
              </w:rPr>
            </w:pPr>
            <w:r>
              <w:rPr>
                <w:b/>
                <w:color w:val="1F1F1F"/>
                <w:sz w:val="18"/>
                <w:szCs w:val="18"/>
              </w:rPr>
              <w:t>Tier 1:</w:t>
            </w:r>
            <w:r>
              <w:rPr>
                <w:color w:val="1F1F1F"/>
                <w:sz w:val="18"/>
                <w:szCs w:val="18"/>
              </w:rPr>
              <w:t xml:space="preserve"> APIM on-error returns the cached vendor response from redis-apex-claims-prod if it is 30 days old or less for the same entity and address; public_records_check_status = CACHED. Not allowed when claimed_amount_usd &gt; $250,000.</w:t>
            </w:r>
          </w:p>
          <w:p w:rsidR="00FE28CC" w:rsidRDefault="00BE491E">
            <w:pPr>
              <w:spacing w:after="0" w:line="240" w:lineRule="auto"/>
              <w:rPr>
                <w:rFonts w:hint="eastAsia"/>
              </w:rPr>
            </w:pPr>
            <w:r>
              <w:rPr>
                <w:b/>
                <w:color w:val="1F1F1F"/>
                <w:sz w:val="18"/>
                <w:szCs w:val="18"/>
              </w:rPr>
              <w:t>Tie</w:t>
            </w:r>
            <w:r>
              <w:rPr>
                <w:b/>
                <w:color w:val="1F1F1F"/>
                <w:sz w:val="18"/>
                <w:szCs w:val="18"/>
              </w:rPr>
              <w:t>r 2:</w:t>
            </w:r>
            <w:r>
              <w:rPr>
                <w:color w:val="1F1F1F"/>
                <w:sz w:val="18"/>
                <w:szCs w:val="18"/>
              </w:rPr>
              <w:t xml:space="preserve"> no valid cache gives INDETERMINATE. The controller checkpoints the claim, parks it in sbq-external-verification-hold (retried every 15 minutes) and after 4 hours routes it to the adjuster (ESC-005). Settlement never runs.</w:t>
            </w:r>
          </w:p>
        </w:tc>
        <w:tc>
          <w:tcPr>
            <w:tcW w:w="1918" w:type="dxa"/>
            <w:shd w:val="clear" w:color="auto" w:fill="F8F9FB"/>
          </w:tcPr>
          <w:p w:rsidR="00FE28CC" w:rsidRDefault="00BE491E">
            <w:pPr>
              <w:spacing w:after="0" w:line="240" w:lineRule="auto"/>
              <w:rPr>
                <w:rFonts w:hint="eastAsia"/>
              </w:rPr>
            </w:pPr>
            <w:r>
              <w:rPr>
                <w:color w:val="1F1F1F"/>
                <w:sz w:val="18"/>
                <w:szCs w:val="18"/>
              </w:rPr>
              <w:t>Half-open after 120 s with on</w:t>
            </w:r>
            <w:r>
              <w:rPr>
                <w:color w:val="1F1F1F"/>
                <w:sz w:val="18"/>
                <w:szCs w:val="18"/>
              </w:rPr>
              <w:t>e probe call; the circuit closes after 3 consecutive successful probes under 3 s. Parked claims replay oldest first, at most 10 at a time (no thundering herd). CACHED results on claims not yet settled are re-verified live.</w:t>
            </w:r>
          </w:p>
        </w:tc>
      </w:tr>
      <w:tr w:rsidR="00FE28CC">
        <w:trPr>
          <w:jc w:val="center"/>
        </w:trPr>
        <w:tc>
          <w:tcPr>
            <w:tcW w:w="1000" w:type="dxa"/>
          </w:tcPr>
          <w:p w:rsidR="00FE28CC" w:rsidRDefault="00BE491E">
            <w:pPr>
              <w:spacing w:after="0" w:line="240" w:lineRule="auto"/>
              <w:rPr>
                <w:rFonts w:hint="eastAsia"/>
              </w:rPr>
            </w:pPr>
            <w:r>
              <w:rPr>
                <w:color w:val="1F1F1F"/>
                <w:sz w:val="18"/>
                <w:szCs w:val="18"/>
              </w:rPr>
              <w:t>FN-002</w:t>
            </w:r>
          </w:p>
        </w:tc>
        <w:tc>
          <w:tcPr>
            <w:tcW w:w="1450" w:type="dxa"/>
          </w:tcPr>
          <w:p w:rsidR="00FE28CC" w:rsidRDefault="00BE491E">
            <w:pPr>
              <w:spacing w:after="0" w:line="240" w:lineRule="auto"/>
              <w:rPr>
                <w:rFonts w:hint="eastAsia"/>
              </w:rPr>
            </w:pPr>
            <w:r>
              <w:rPr>
                <w:color w:val="1F1F1F"/>
                <w:sz w:val="18"/>
                <w:szCs w:val="18"/>
              </w:rPr>
              <w:t>1 regeneration (2 attempts in total).</w:t>
            </w:r>
          </w:p>
        </w:tc>
        <w:tc>
          <w:tcPr>
            <w:tcW w:w="1600" w:type="dxa"/>
          </w:tcPr>
          <w:p w:rsidR="00FE28CC" w:rsidRDefault="00BE491E">
            <w:pPr>
              <w:spacing w:after="0" w:line="240" w:lineRule="auto"/>
              <w:rPr>
                <w:rFonts w:hint="eastAsia"/>
              </w:rPr>
            </w:pPr>
            <w:r>
              <w:rPr>
                <w:color w:val="1F1F1F"/>
                <w:sz w:val="18"/>
                <w:szCs w:val="18"/>
              </w:rPr>
              <w:t>None (immediate). The regeneration prompt includes the failed rule IDs and field paths.</w:t>
            </w:r>
          </w:p>
        </w:tc>
        <w:tc>
          <w:tcPr>
            <w:tcW w:w="1900" w:type="dxa"/>
          </w:tcPr>
          <w:p w:rsidR="00FE28CC" w:rsidRDefault="00BE491E">
            <w:pPr>
              <w:spacing w:after="0" w:line="240" w:lineRule="auto"/>
              <w:rPr>
                <w:rFonts w:hint="eastAsia"/>
              </w:rPr>
            </w:pPr>
            <w:r>
              <w:rPr>
                <w:color w:val="1F1F1F"/>
                <w:sz w:val="18"/>
                <w:szCs w:val="18"/>
              </w:rPr>
              <w:t xml:space="preserve">N/A per claim. Operational guard: if more than 5% of letters fail validation within 1 hour, Claims Platform on-call is alerted (a </w:t>
            </w:r>
            <w:r>
              <w:rPr>
                <w:color w:val="1F1F1F"/>
                <w:sz w:val="18"/>
                <w:szCs w:val="18"/>
              </w:rPr>
              <w:t>sign of prompt or model regression).</w:t>
            </w:r>
          </w:p>
        </w:tc>
        <w:tc>
          <w:tcPr>
            <w:tcW w:w="2500" w:type="dxa"/>
          </w:tcPr>
          <w:p w:rsidR="00FE28CC" w:rsidRDefault="00BE491E">
            <w:pPr>
              <w:spacing w:after="0" w:line="240" w:lineRule="auto"/>
              <w:rPr>
                <w:rFonts w:hint="eastAsia"/>
              </w:rPr>
            </w:pPr>
            <w:r>
              <w:rPr>
                <w:color w:val="1F1F1F"/>
                <w:sz w:val="18"/>
                <w:szCs w:val="18"/>
              </w:rPr>
              <w:t xml:space="preserve">Validation failure branch: the draft JSON stays in the case record with letter_validation_status = FAILED and nothing is rendered; the claim goes to sbq-adjuster-review for manual drafting (ESC-007) with the error list </w:t>
            </w:r>
            <w:r>
              <w:rPr>
                <w:color w:val="1F1F1F"/>
                <w:sz w:val="18"/>
                <w:szCs w:val="18"/>
              </w:rPr>
              <w:t>attached.</w:t>
            </w:r>
          </w:p>
        </w:tc>
        <w:tc>
          <w:tcPr>
            <w:tcW w:w="1918" w:type="dxa"/>
          </w:tcPr>
          <w:p w:rsidR="00FE28CC" w:rsidRDefault="00BE491E">
            <w:pPr>
              <w:spacing w:after="0" w:line="240" w:lineRule="auto"/>
              <w:rPr>
                <w:rFonts w:hint="eastAsia"/>
              </w:rPr>
            </w:pPr>
            <w:r>
              <w:rPr>
                <w:color w:val="1F1F1F"/>
                <w:sz w:val="18"/>
                <w:szCs w:val="18"/>
              </w:rPr>
              <w:t>All rules V1 to V9 pass. Only then does the Letter Rendering Service accept the output.</w:t>
            </w:r>
          </w:p>
        </w:tc>
      </w:tr>
      <w:tr w:rsidR="00FE28CC">
        <w:trPr>
          <w:jc w:val="center"/>
        </w:trPr>
        <w:tc>
          <w:tcPr>
            <w:tcW w:w="1000" w:type="dxa"/>
          </w:tcPr>
          <w:p w:rsidR="00FE28CC" w:rsidRDefault="00BE491E">
            <w:pPr>
              <w:spacing w:after="0" w:line="240" w:lineRule="auto"/>
              <w:rPr>
                <w:rFonts w:hint="eastAsia"/>
              </w:rPr>
            </w:pPr>
            <w:r>
              <w:rPr>
                <w:color w:val="1F1F1F"/>
                <w:sz w:val="18"/>
                <w:szCs w:val="18"/>
              </w:rPr>
              <w:t>FN-003</w:t>
            </w:r>
          </w:p>
        </w:tc>
        <w:tc>
          <w:tcPr>
            <w:tcW w:w="1450" w:type="dxa"/>
          </w:tcPr>
          <w:p w:rsidR="00FE28CC" w:rsidRDefault="00BE491E">
            <w:pPr>
              <w:spacing w:after="0" w:line="240" w:lineRule="auto"/>
              <w:rPr>
                <w:rFonts w:hint="eastAsia"/>
              </w:rPr>
            </w:pPr>
            <w:r>
              <w:rPr>
                <w:color w:val="1F1F1F"/>
                <w:sz w:val="18"/>
                <w:szCs w:val="18"/>
              </w:rPr>
              <w:t>N/A for the business flow (the exporter’s local buffer retries telemetry export).</w:t>
            </w:r>
          </w:p>
        </w:tc>
        <w:tc>
          <w:tcPr>
            <w:tcW w:w="1600" w:type="dxa"/>
          </w:tcPr>
          <w:p w:rsidR="00FE28CC" w:rsidRDefault="00BE491E">
            <w:pPr>
              <w:spacing w:after="0" w:line="240" w:lineRule="auto"/>
              <w:rPr>
                <w:rFonts w:hint="eastAsia"/>
              </w:rPr>
            </w:pPr>
            <w:r>
              <w:rPr>
                <w:color w:val="1F1F1F"/>
                <w:sz w:val="18"/>
                <w:szCs w:val="18"/>
              </w:rPr>
              <w:t>N/A</w:t>
            </w:r>
          </w:p>
        </w:tc>
        <w:tc>
          <w:tcPr>
            <w:tcW w:w="1900" w:type="dxa"/>
          </w:tcPr>
          <w:p w:rsidR="00FE28CC" w:rsidRDefault="00BE491E">
            <w:pPr>
              <w:spacing w:after="0" w:line="240" w:lineRule="auto"/>
              <w:rPr>
                <w:rFonts w:hint="eastAsia"/>
              </w:rPr>
            </w:pPr>
            <w:r>
              <w:rPr>
                <w:color w:val="1F1F1F"/>
                <w:sz w:val="18"/>
                <w:szCs w:val="18"/>
              </w:rPr>
              <w:t>N/A</w:t>
            </w:r>
          </w:p>
        </w:tc>
        <w:tc>
          <w:tcPr>
            <w:tcW w:w="2500" w:type="dxa"/>
          </w:tcPr>
          <w:p w:rsidR="00FE28CC" w:rsidRDefault="00BE491E">
            <w:pPr>
              <w:spacing w:after="40" w:line="240" w:lineRule="auto"/>
              <w:rPr>
                <w:rFonts w:hint="eastAsia"/>
              </w:rPr>
            </w:pPr>
            <w:r>
              <w:rPr>
                <w:color w:val="1F1F1F"/>
                <w:sz w:val="18"/>
                <w:szCs w:val="18"/>
              </w:rPr>
              <w:t>Block release or route to instrumentation remediation:</w:t>
            </w:r>
          </w:p>
          <w:p w:rsidR="00FE28CC" w:rsidRDefault="00BE491E">
            <w:pPr>
              <w:numPr>
                <w:ilvl w:val="0"/>
                <w:numId w:val="1"/>
              </w:numPr>
              <w:spacing w:after="20" w:line="240" w:lineRule="auto"/>
              <w:rPr>
                <w:rFonts w:hint="eastAsia"/>
              </w:rPr>
            </w:pPr>
            <w:r>
              <w:rPr>
                <w:b/>
                <w:color w:val="1F1F1F"/>
                <w:sz w:val="18"/>
                <w:szCs w:val="18"/>
              </w:rPr>
              <w:t>Release gate:</w:t>
            </w:r>
            <w:r>
              <w:rPr>
                <w:color w:val="1F1F1F"/>
                <w:sz w:val="18"/>
                <w:szCs w:val="18"/>
              </w:rPr>
              <w:t xml:space="preserve"> a synthetic claim run in pre-production must show every required span in item 4 linked by one correlation_id, or the deployment is blocked.</w:t>
            </w:r>
          </w:p>
          <w:p w:rsidR="00FE28CC" w:rsidRDefault="00BE491E">
            <w:pPr>
              <w:numPr>
                <w:ilvl w:val="0"/>
                <w:numId w:val="1"/>
              </w:numPr>
              <w:spacing w:after="20" w:line="240" w:lineRule="auto"/>
              <w:rPr>
                <w:rFonts w:hint="eastAsia"/>
              </w:rPr>
            </w:pPr>
            <w:r>
              <w:rPr>
                <w:b/>
                <w:color w:val="1F1F1F"/>
                <w:sz w:val="18"/>
                <w:szCs w:val="18"/>
              </w:rPr>
              <w:t>Runtime:</w:t>
            </w:r>
            <w:r>
              <w:rPr>
                <w:color w:val="1F1F1F"/>
                <w:sz w:val="18"/>
                <w:szCs w:val="18"/>
              </w:rPr>
              <w:t xml:space="preserve"> a handoff without correlation_id, or without a started a2a.handoff span, is rejected (fail cl</w:t>
            </w:r>
            <w:r>
              <w:rPr>
                <w:color w:val="1F1F1F"/>
                <w:sz w:val="18"/>
                <w:szCs w:val="18"/>
              </w:rPr>
              <w:t>osed) and on-call is alerted.</w:t>
            </w:r>
          </w:p>
          <w:p w:rsidR="00FE28CC" w:rsidRDefault="00BE491E">
            <w:pPr>
              <w:numPr>
                <w:ilvl w:val="0"/>
                <w:numId w:val="1"/>
              </w:numPr>
              <w:spacing w:after="0" w:line="240" w:lineRule="auto"/>
              <w:rPr>
                <w:rFonts w:hint="eastAsia"/>
              </w:rPr>
            </w:pPr>
            <w:r>
              <w:rPr>
                <w:b/>
                <w:color w:val="1F1F1F"/>
                <w:sz w:val="18"/>
                <w:szCs w:val="18"/>
              </w:rPr>
              <w:t>Drift:</w:t>
            </w:r>
            <w:r>
              <w:rPr>
                <w:color w:val="1F1F1F"/>
                <w:sz w:val="18"/>
                <w:szCs w:val="18"/>
              </w:rPr>
              <w:t xml:space="preserve"> if ingested claims.workflow.run spans fall more than 2% below </w:t>
            </w:r>
            <w:r>
              <w:rPr>
                <w:color w:val="1F1F1F"/>
                <w:sz w:val="18"/>
                <w:szCs w:val="18"/>
              </w:rPr>
              <w:lastRenderedPageBreak/>
              <w:t>the workflow count for 15 minutes, an alert opens an instrumentation remediation ticket.</w:t>
            </w:r>
          </w:p>
        </w:tc>
        <w:tc>
          <w:tcPr>
            <w:tcW w:w="1918" w:type="dxa"/>
          </w:tcPr>
          <w:p w:rsidR="00FE28CC" w:rsidRDefault="00BE491E">
            <w:pPr>
              <w:spacing w:after="0" w:line="240" w:lineRule="auto"/>
              <w:rPr>
                <w:rFonts w:hint="eastAsia"/>
              </w:rPr>
            </w:pPr>
            <w:r>
              <w:rPr>
                <w:color w:val="1F1F1F"/>
                <w:sz w:val="18"/>
                <w:szCs w:val="18"/>
              </w:rPr>
              <w:lastRenderedPageBreak/>
              <w:t xml:space="preserve">Required spans visible in telemetry with correlation_id for 100% of </w:t>
            </w:r>
            <w:r>
              <w:rPr>
                <w:color w:val="1F1F1F"/>
                <w:sz w:val="18"/>
                <w:szCs w:val="18"/>
              </w:rPr>
              <w:t>synthetic runs, and a daily reconciliation of claim count against claims.workflow.run spans shows zero gaps.</w:t>
            </w:r>
          </w:p>
        </w:tc>
      </w:tr>
    </w:tbl>
    <w:p w:rsidR="00FE28CC" w:rsidRDefault="00FE28CC">
      <w:pPr>
        <w:rPr>
          <w:rFonts w:hint="eastAsia"/>
        </w:rPr>
      </w:pPr>
    </w:p>
    <w:p w:rsidR="00FE28CC" w:rsidRDefault="00BE491E">
      <w:pPr>
        <w:pStyle w:val="Heading2"/>
      </w:pPr>
      <w:r>
        <w:t>4. Observability Specification</w:t>
      </w:r>
    </w:p>
    <w:tbl>
      <w:tblPr>
        <w:tblStyle w:val="TableGrid"/>
        <w:tblW w:w="10368" w:type="dxa"/>
        <w:jc w:val="center"/>
        <w:tblLook w:val="04A0" w:firstRow="1" w:lastRow="0" w:firstColumn="1" w:lastColumn="0" w:noHBand="0" w:noVBand="1"/>
      </w:tblPr>
      <w:tblGrid>
        <w:gridCol w:w="2271"/>
        <w:gridCol w:w="1936"/>
        <w:gridCol w:w="2867"/>
        <w:gridCol w:w="1596"/>
        <w:gridCol w:w="1698"/>
      </w:tblGrid>
      <w:tr w:rsidR="00FE28CC">
        <w:trPr>
          <w:tblHeader/>
          <w:jc w:val="center"/>
        </w:trPr>
        <w:tc>
          <w:tcPr>
            <w:tcW w:w="2000" w:type="dxa"/>
            <w:shd w:val="clear" w:color="auto" w:fill="1F4E79"/>
          </w:tcPr>
          <w:p w:rsidR="00FE28CC" w:rsidRDefault="00BE491E">
            <w:pPr>
              <w:spacing w:after="0" w:line="240" w:lineRule="auto"/>
              <w:rPr>
                <w:rFonts w:hint="eastAsia"/>
              </w:rPr>
            </w:pPr>
            <w:r>
              <w:rPr>
                <w:b/>
                <w:color w:val="FFFFFF"/>
                <w:sz w:val="18"/>
              </w:rPr>
              <w:t>Span Name</w:t>
            </w:r>
          </w:p>
        </w:tc>
        <w:tc>
          <w:tcPr>
            <w:tcW w:w="1900" w:type="dxa"/>
            <w:shd w:val="clear" w:color="auto" w:fill="1F4E79"/>
          </w:tcPr>
          <w:p w:rsidR="00FE28CC" w:rsidRDefault="00BE491E">
            <w:pPr>
              <w:spacing w:after="0" w:line="240" w:lineRule="auto"/>
              <w:rPr>
                <w:rFonts w:hint="eastAsia"/>
              </w:rPr>
            </w:pPr>
            <w:r>
              <w:rPr>
                <w:b/>
                <w:color w:val="FFFFFF"/>
                <w:sz w:val="18"/>
              </w:rPr>
              <w:t>Architecture Point</w:t>
            </w:r>
          </w:p>
        </w:tc>
        <w:tc>
          <w:tcPr>
            <w:tcW w:w="3000" w:type="dxa"/>
            <w:shd w:val="clear" w:color="auto" w:fill="1F4E79"/>
          </w:tcPr>
          <w:p w:rsidR="00FE28CC" w:rsidRDefault="00BE491E">
            <w:pPr>
              <w:spacing w:after="0" w:line="240" w:lineRule="auto"/>
              <w:rPr>
                <w:rFonts w:hint="eastAsia"/>
              </w:rPr>
            </w:pPr>
            <w:r>
              <w:rPr>
                <w:b/>
                <w:color w:val="FFFFFF"/>
                <w:sz w:val="18"/>
              </w:rPr>
              <w:t>Capture Targets</w:t>
            </w:r>
          </w:p>
        </w:tc>
        <w:tc>
          <w:tcPr>
            <w:tcW w:w="1650" w:type="dxa"/>
            <w:shd w:val="clear" w:color="auto" w:fill="1F4E79"/>
          </w:tcPr>
          <w:p w:rsidR="00FE28CC" w:rsidRDefault="00BE491E">
            <w:pPr>
              <w:spacing w:after="0" w:line="240" w:lineRule="auto"/>
              <w:rPr>
                <w:rFonts w:hint="eastAsia"/>
              </w:rPr>
            </w:pPr>
            <w:r>
              <w:rPr>
                <w:b/>
                <w:color w:val="FFFFFF"/>
                <w:sz w:val="18"/>
              </w:rPr>
              <w:t>PII Handling</w:t>
            </w:r>
          </w:p>
        </w:tc>
        <w:tc>
          <w:tcPr>
            <w:tcW w:w="1818" w:type="dxa"/>
            <w:shd w:val="clear" w:color="auto" w:fill="1F4E79"/>
          </w:tcPr>
          <w:p w:rsidR="00FE28CC" w:rsidRDefault="00BE491E">
            <w:pPr>
              <w:spacing w:after="0" w:line="240" w:lineRule="auto"/>
              <w:rPr>
                <w:rFonts w:hint="eastAsia"/>
              </w:rPr>
            </w:pPr>
            <w:r>
              <w:rPr>
                <w:b/>
                <w:color w:val="FFFFFF"/>
                <w:sz w:val="18"/>
              </w:rPr>
              <w:t>Owner / Consumer</w:t>
            </w:r>
          </w:p>
        </w:tc>
      </w:tr>
      <w:tr w:rsidR="00FE28CC">
        <w:trPr>
          <w:jc w:val="center"/>
        </w:trPr>
        <w:tc>
          <w:tcPr>
            <w:tcW w:w="2000" w:type="dxa"/>
          </w:tcPr>
          <w:p w:rsidR="00FE28CC" w:rsidRDefault="00BE491E">
            <w:pPr>
              <w:spacing w:after="0" w:line="240" w:lineRule="auto"/>
              <w:rPr>
                <w:rFonts w:hint="eastAsia"/>
              </w:rPr>
            </w:pPr>
            <w:r>
              <w:rPr>
                <w:color w:val="1F1F1F"/>
                <w:sz w:val="18"/>
                <w:szCs w:val="18"/>
              </w:rPr>
              <w:t>fraud_api.call</w:t>
            </w:r>
          </w:p>
        </w:tc>
        <w:tc>
          <w:tcPr>
            <w:tcW w:w="1900" w:type="dxa"/>
          </w:tcPr>
          <w:p w:rsidR="00FE28CC" w:rsidRDefault="00BE491E">
            <w:pPr>
              <w:spacing w:after="0" w:line="240" w:lineRule="auto"/>
              <w:rPr>
                <w:rFonts w:hint="eastAsia"/>
              </w:rPr>
            </w:pPr>
            <w:r>
              <w:rPr>
                <w:color w:val="1F1F1F"/>
                <w:sz w:val="18"/>
                <w:szCs w:val="18"/>
              </w:rPr>
              <w:t>Fraud and public records API call (public_records_lookup → APIM public-records-v1)</w:t>
            </w:r>
          </w:p>
        </w:tc>
        <w:tc>
          <w:tcPr>
            <w:tcW w:w="3000" w:type="dxa"/>
          </w:tcPr>
          <w:p w:rsidR="00FE28CC" w:rsidRDefault="00BE491E">
            <w:pPr>
              <w:spacing w:after="0" w:line="240" w:lineRule="auto"/>
              <w:rPr>
                <w:rFonts w:hint="eastAsia"/>
              </w:rPr>
            </w:pPr>
            <w:r>
              <w:rPr>
                <w:color w:val="1F1F1F"/>
                <w:sz w:val="18"/>
                <w:szCs w:val="18"/>
              </w:rPr>
              <w:t>API response status, latency (ms), retry count, circuit state (closed, open or half-open), fallback tier (none, CACHED, INDETERMINATE), cache age, APIM request ID, operation</w:t>
            </w:r>
            <w:r>
              <w:rPr>
                <w:color w:val="1F1F1F"/>
                <w:sz w:val="18"/>
                <w:szCs w:val="18"/>
              </w:rPr>
              <w:t xml:space="preserve"> name</w:t>
            </w:r>
          </w:p>
        </w:tc>
        <w:tc>
          <w:tcPr>
            <w:tcW w:w="1650" w:type="dxa"/>
          </w:tcPr>
          <w:p w:rsidR="00FE28CC" w:rsidRDefault="00BE491E">
            <w:pPr>
              <w:spacing w:after="0" w:line="240" w:lineRule="auto"/>
              <w:rPr>
                <w:rFonts w:hint="eastAsia"/>
              </w:rPr>
            </w:pPr>
            <w:r>
              <w:rPr>
                <w:color w:val="1F1F1F"/>
                <w:sz w:val="18"/>
                <w:szCs w:val="18"/>
              </w:rPr>
              <w:t>No full payload; claim reference (correlation_id) only; no entity names or addresses</w:t>
            </w:r>
          </w:p>
        </w:tc>
        <w:tc>
          <w:tcPr>
            <w:tcW w:w="1818" w:type="dxa"/>
            <w:shd w:val="clear" w:color="auto" w:fill="F8F9FB"/>
          </w:tcPr>
          <w:p w:rsidR="00FE28CC" w:rsidRDefault="00BE491E">
            <w:pPr>
              <w:spacing w:after="0" w:line="240" w:lineRule="auto"/>
              <w:rPr>
                <w:rFonts w:hint="eastAsia"/>
              </w:rPr>
            </w:pPr>
            <w:r>
              <w:rPr>
                <w:color w:val="1F1F1F"/>
                <w:sz w:val="18"/>
                <w:szCs w:val="18"/>
              </w:rPr>
              <w:t>Claims Platform Engineering (SRE); on-call alerting</w:t>
            </w:r>
          </w:p>
        </w:tc>
      </w:tr>
      <w:tr w:rsidR="00FE28CC">
        <w:trPr>
          <w:jc w:val="center"/>
        </w:trPr>
        <w:tc>
          <w:tcPr>
            <w:tcW w:w="2000" w:type="dxa"/>
          </w:tcPr>
          <w:p w:rsidR="00FE28CC" w:rsidRDefault="00BE491E">
            <w:pPr>
              <w:spacing w:after="0" w:line="240" w:lineRule="auto"/>
              <w:rPr>
                <w:rFonts w:hint="eastAsia"/>
              </w:rPr>
            </w:pPr>
            <w:r>
              <w:rPr>
                <w:color w:val="1F1F1F"/>
                <w:sz w:val="18"/>
                <w:szCs w:val="18"/>
              </w:rPr>
              <w:t>settlement_output.validation</w:t>
            </w:r>
          </w:p>
        </w:tc>
        <w:tc>
          <w:tcPr>
            <w:tcW w:w="1900" w:type="dxa"/>
          </w:tcPr>
          <w:p w:rsidR="00FE28CC" w:rsidRDefault="00BE491E">
            <w:pPr>
              <w:spacing w:after="0" w:line="240" w:lineRule="auto"/>
              <w:rPr>
                <w:rFonts w:hint="eastAsia"/>
              </w:rPr>
            </w:pPr>
            <w:r>
              <w:rPr>
                <w:color w:val="1F1F1F"/>
                <w:sz w:val="18"/>
                <w:szCs w:val="18"/>
              </w:rPr>
              <w:t>Settlement Specialist output validation gate</w:t>
            </w:r>
          </w:p>
        </w:tc>
        <w:tc>
          <w:tcPr>
            <w:tcW w:w="3000" w:type="dxa"/>
          </w:tcPr>
          <w:p w:rsidR="00FE28CC" w:rsidRDefault="00BE491E">
            <w:pPr>
              <w:spacing w:after="0" w:line="240" w:lineRule="auto"/>
              <w:rPr>
                <w:rFonts w:hint="eastAsia"/>
              </w:rPr>
            </w:pPr>
            <w:r>
              <w:rPr>
                <w:color w:val="1F1F1F"/>
                <w:sz w:val="18"/>
                <w:szCs w:val="18"/>
              </w:rPr>
              <w:t>Validation pass or fail, schema version, failed rule IDs (V1 to V9), field-level error detail (field path and rule), attempt number (1 or 2)</w:t>
            </w:r>
          </w:p>
        </w:tc>
        <w:tc>
          <w:tcPr>
            <w:tcW w:w="1650" w:type="dxa"/>
          </w:tcPr>
          <w:p w:rsidR="00FE28CC" w:rsidRDefault="00BE491E">
            <w:pPr>
              <w:spacing w:after="0" w:line="240" w:lineRule="auto"/>
              <w:rPr>
                <w:rFonts w:hint="eastAsia"/>
              </w:rPr>
            </w:pPr>
            <w:r>
              <w:rPr>
                <w:color w:val="1F1F1F"/>
                <w:sz w:val="18"/>
                <w:szCs w:val="18"/>
              </w:rPr>
              <w:t>No raw PII in validation logs: errors list field paths and rule IDs, never values</w:t>
            </w:r>
          </w:p>
        </w:tc>
        <w:tc>
          <w:tcPr>
            <w:tcW w:w="1818" w:type="dxa"/>
            <w:shd w:val="clear" w:color="auto" w:fill="F8F9FB"/>
          </w:tcPr>
          <w:p w:rsidR="00FE28CC" w:rsidRDefault="00BE491E">
            <w:pPr>
              <w:spacing w:after="0" w:line="240" w:lineRule="auto"/>
              <w:rPr>
                <w:rFonts w:hint="eastAsia"/>
              </w:rPr>
            </w:pPr>
            <w:r>
              <w:rPr>
                <w:color w:val="1F1F1F"/>
                <w:sz w:val="18"/>
                <w:szCs w:val="18"/>
              </w:rPr>
              <w:t>Claims Operations QA lead; Claims</w:t>
            </w:r>
            <w:r>
              <w:rPr>
                <w:color w:val="1F1F1F"/>
                <w:sz w:val="18"/>
                <w:szCs w:val="18"/>
              </w:rPr>
              <w:t xml:space="preserve"> Platform Engineering</w:t>
            </w:r>
          </w:p>
        </w:tc>
      </w:tr>
      <w:tr w:rsidR="00FE28CC">
        <w:trPr>
          <w:jc w:val="center"/>
        </w:trPr>
        <w:tc>
          <w:tcPr>
            <w:tcW w:w="2000" w:type="dxa"/>
          </w:tcPr>
          <w:p w:rsidR="00FE28CC" w:rsidRDefault="00BE491E">
            <w:pPr>
              <w:spacing w:after="0" w:line="240" w:lineRule="auto"/>
              <w:rPr>
                <w:rFonts w:hint="eastAsia"/>
              </w:rPr>
            </w:pPr>
            <w:r>
              <w:rPr>
                <w:color w:val="1F1F1F"/>
                <w:sz w:val="18"/>
                <w:szCs w:val="18"/>
              </w:rPr>
              <w:t>a2a.handoff</w:t>
            </w:r>
          </w:p>
        </w:tc>
        <w:tc>
          <w:tcPr>
            <w:tcW w:w="1900" w:type="dxa"/>
          </w:tcPr>
          <w:p w:rsidR="00FE28CC" w:rsidRDefault="00BE491E">
            <w:pPr>
              <w:spacing w:after="0" w:line="240" w:lineRule="auto"/>
              <w:rPr>
                <w:rFonts w:hint="eastAsia"/>
              </w:rPr>
            </w:pPr>
            <w:r>
              <w:rPr>
                <w:color w:val="1F1F1F"/>
                <w:sz w:val="18"/>
                <w:szCs w:val="18"/>
              </w:rPr>
              <w:t>Inter-agent handoff events (Fraud and Risk Specialist → Settlement Specialist via the controller)</w:t>
            </w:r>
          </w:p>
        </w:tc>
        <w:tc>
          <w:tcPr>
            <w:tcW w:w="3000" w:type="dxa"/>
          </w:tcPr>
          <w:p w:rsidR="00FE28CC" w:rsidRDefault="00BE491E">
            <w:pPr>
              <w:spacing w:after="0" w:line="240" w:lineRule="auto"/>
              <w:rPr>
                <w:rFonts w:hint="eastAsia"/>
              </w:rPr>
            </w:pPr>
            <w:r>
              <w:rPr>
                <w:color w:val="1F1F1F"/>
                <w:sz w:val="18"/>
                <w:szCs w:val="18"/>
              </w:rPr>
              <w:t>Sending agent ID, receiving agent ID, correlation ID, handoff_id, timestamp, payload SHA-256 hash, schema_version, caller p</w:t>
            </w:r>
            <w:r>
              <w:rPr>
                <w:color w:val="1F1F1F"/>
                <w:sz w:val="18"/>
                <w:szCs w:val="18"/>
              </w:rPr>
              <w:t>rincipal (UAMI object ID), redaction_applied, route</w:t>
            </w:r>
          </w:p>
        </w:tc>
        <w:tc>
          <w:tcPr>
            <w:tcW w:w="1650" w:type="dxa"/>
          </w:tcPr>
          <w:p w:rsidR="00FE28CC" w:rsidRDefault="00BE491E">
            <w:pPr>
              <w:spacing w:after="0" w:line="240" w:lineRule="auto"/>
              <w:rPr>
                <w:rFonts w:hint="eastAsia"/>
              </w:rPr>
            </w:pPr>
            <w:r>
              <w:rPr>
                <w:color w:val="1F1F1F"/>
                <w:sz w:val="18"/>
                <w:szCs w:val="18"/>
              </w:rPr>
              <w:t>Payload hash only; no full handoff payload</w:t>
            </w:r>
          </w:p>
        </w:tc>
        <w:tc>
          <w:tcPr>
            <w:tcW w:w="1818" w:type="dxa"/>
            <w:shd w:val="clear" w:color="auto" w:fill="F8F9FB"/>
          </w:tcPr>
          <w:p w:rsidR="00FE28CC" w:rsidRDefault="00BE491E">
            <w:pPr>
              <w:spacing w:after="0" w:line="240" w:lineRule="auto"/>
              <w:rPr>
                <w:rFonts w:hint="eastAsia"/>
              </w:rPr>
            </w:pPr>
            <w:r>
              <w:rPr>
                <w:color w:val="1F1F1F"/>
                <w:sz w:val="18"/>
                <w:szCs w:val="18"/>
              </w:rPr>
              <w:t>Claims Compliance and Internal Audit (consumer); Claims Platform Engineering (owner)</w:t>
            </w:r>
          </w:p>
        </w:tc>
      </w:tr>
      <w:tr w:rsidR="00FE28CC">
        <w:trPr>
          <w:jc w:val="center"/>
        </w:trPr>
        <w:tc>
          <w:tcPr>
            <w:tcW w:w="2000" w:type="dxa"/>
          </w:tcPr>
          <w:p w:rsidR="00FE28CC" w:rsidRDefault="00BE491E">
            <w:pPr>
              <w:spacing w:after="0" w:line="240" w:lineRule="auto"/>
              <w:rPr>
                <w:rFonts w:hint="eastAsia"/>
              </w:rPr>
            </w:pPr>
            <w:r>
              <w:rPr>
                <w:color w:val="1F1F1F"/>
                <w:sz w:val="18"/>
                <w:szCs w:val="18"/>
              </w:rPr>
              <w:t>claims.workflow.run (root span)</w:t>
            </w:r>
          </w:p>
        </w:tc>
        <w:tc>
          <w:tcPr>
            <w:tcW w:w="1900" w:type="dxa"/>
          </w:tcPr>
          <w:p w:rsidR="00FE28CC" w:rsidRDefault="00BE491E">
            <w:pPr>
              <w:spacing w:after="0" w:line="240" w:lineRule="auto"/>
              <w:rPr>
                <w:rFonts w:hint="eastAsia"/>
              </w:rPr>
            </w:pPr>
            <w:r>
              <w:rPr>
                <w:color w:val="1F1F1F"/>
                <w:sz w:val="18"/>
                <w:szCs w:val="18"/>
              </w:rPr>
              <w:t>Claims Workflow Controller, one per claim r</w:t>
            </w:r>
            <w:r>
              <w:rPr>
                <w:color w:val="1F1F1F"/>
                <w:sz w:val="18"/>
                <w:szCs w:val="18"/>
              </w:rPr>
              <w:t>un</w:t>
            </w:r>
          </w:p>
        </w:tc>
        <w:tc>
          <w:tcPr>
            <w:tcW w:w="3000" w:type="dxa"/>
          </w:tcPr>
          <w:p w:rsidR="00FE28CC" w:rsidRDefault="00BE491E">
            <w:pPr>
              <w:spacing w:after="0" w:line="240" w:lineRule="auto"/>
              <w:rPr>
                <w:rFonts w:hint="eastAsia"/>
              </w:rPr>
            </w:pPr>
            <w:r>
              <w:rPr>
                <w:color w:val="1F1F1F"/>
                <w:sz w:val="18"/>
                <w:szCs w:val="18"/>
              </w:rPr>
              <w:t>correlation_id, claim_id, workflow version, final workflow_status, route, escalation_ids, total duration, total tokens</w:t>
            </w:r>
          </w:p>
        </w:tc>
        <w:tc>
          <w:tcPr>
            <w:tcW w:w="1650" w:type="dxa"/>
          </w:tcPr>
          <w:p w:rsidR="00FE28CC" w:rsidRDefault="00BE491E">
            <w:pPr>
              <w:spacing w:after="0" w:line="240" w:lineRule="auto"/>
              <w:rPr>
                <w:rFonts w:hint="eastAsia"/>
              </w:rPr>
            </w:pPr>
            <w:r>
              <w:rPr>
                <w:color w:val="1F1F1F"/>
                <w:sz w:val="18"/>
                <w:szCs w:val="18"/>
              </w:rPr>
              <w:t>Identifiers only</w:t>
            </w:r>
          </w:p>
        </w:tc>
        <w:tc>
          <w:tcPr>
            <w:tcW w:w="1818" w:type="dxa"/>
            <w:shd w:val="clear" w:color="auto" w:fill="F8F9FB"/>
          </w:tcPr>
          <w:p w:rsidR="00FE28CC" w:rsidRDefault="00BE491E">
            <w:pPr>
              <w:spacing w:after="0" w:line="240" w:lineRule="auto"/>
              <w:rPr>
                <w:rFonts w:hint="eastAsia"/>
              </w:rPr>
            </w:pPr>
            <w:r>
              <w:rPr>
                <w:color w:val="1F1F1F"/>
                <w:sz w:val="18"/>
                <w:szCs w:val="18"/>
              </w:rPr>
              <w:t>Claims Operations manager (SLA); Internal Audit</w:t>
            </w:r>
          </w:p>
        </w:tc>
      </w:tr>
      <w:tr w:rsidR="00FE28CC">
        <w:trPr>
          <w:jc w:val="center"/>
        </w:trPr>
        <w:tc>
          <w:tcPr>
            <w:tcW w:w="2000" w:type="dxa"/>
          </w:tcPr>
          <w:p w:rsidR="00FE28CC" w:rsidRDefault="00BE491E">
            <w:pPr>
              <w:spacing w:after="0" w:line="240" w:lineRule="auto"/>
              <w:rPr>
                <w:rFonts w:hint="eastAsia"/>
              </w:rPr>
            </w:pPr>
            <w:r>
              <w:rPr>
                <w:color w:val="1F1F1F"/>
                <w:sz w:val="18"/>
                <w:szCs w:val="18"/>
              </w:rPr>
              <w:t>invoke_agent {agent_name} with child execute_tool {tool_name}</w:t>
            </w:r>
          </w:p>
        </w:tc>
        <w:tc>
          <w:tcPr>
            <w:tcW w:w="1900" w:type="dxa"/>
          </w:tcPr>
          <w:p w:rsidR="00FE28CC" w:rsidRDefault="00BE491E">
            <w:pPr>
              <w:spacing w:after="0" w:line="240" w:lineRule="auto"/>
              <w:rPr>
                <w:rFonts w:hint="eastAsia"/>
              </w:rPr>
            </w:pPr>
            <w:r>
              <w:rPr>
                <w:color w:val="1F1F1F"/>
                <w:sz w:val="18"/>
                <w:szCs w:val="18"/>
              </w:rPr>
              <w:t>Each of the four specialist agents and their tool calls</w:t>
            </w:r>
          </w:p>
        </w:tc>
        <w:tc>
          <w:tcPr>
            <w:tcW w:w="3000" w:type="dxa"/>
          </w:tcPr>
          <w:p w:rsidR="00FE28CC" w:rsidRDefault="00BE491E">
            <w:pPr>
              <w:spacing w:after="0" w:line="240" w:lineRule="auto"/>
              <w:rPr>
                <w:rFonts w:hint="eastAsia"/>
              </w:rPr>
            </w:pPr>
            <w:r>
              <w:rPr>
                <w:color w:val="1F1F1F"/>
                <w:sz w:val="18"/>
                <w:szCs w:val="18"/>
              </w:rPr>
              <w:t>gen_ai.agent.name, gen_ai.agent.id, gen_ai.request.model, gen_ai.usage.input_tokens, gen_ai.usage.output_tokens, tool-call count, duration, outcome</w:t>
            </w:r>
          </w:p>
        </w:tc>
        <w:tc>
          <w:tcPr>
            <w:tcW w:w="1650" w:type="dxa"/>
          </w:tcPr>
          <w:p w:rsidR="00FE28CC" w:rsidRDefault="00BE491E">
            <w:pPr>
              <w:spacing w:after="0" w:line="240" w:lineRule="auto"/>
              <w:rPr>
                <w:rFonts w:hint="eastAsia"/>
              </w:rPr>
            </w:pPr>
            <w:r>
              <w:rPr>
                <w:color w:val="1F1F1F"/>
                <w:sz w:val="18"/>
                <w:szCs w:val="18"/>
              </w:rPr>
              <w:t>Prompt and completion content capture disabled in pr</w:t>
            </w:r>
            <w:r>
              <w:rPr>
                <w:color w:val="1F1F1F"/>
                <w:sz w:val="18"/>
                <w:szCs w:val="18"/>
              </w:rPr>
              <w:t>oduction</w:t>
            </w:r>
          </w:p>
        </w:tc>
        <w:tc>
          <w:tcPr>
            <w:tcW w:w="1818" w:type="dxa"/>
            <w:shd w:val="clear" w:color="auto" w:fill="F8F9FB"/>
          </w:tcPr>
          <w:p w:rsidR="00FE28CC" w:rsidRDefault="00BE491E">
            <w:pPr>
              <w:spacing w:after="0" w:line="240" w:lineRule="auto"/>
              <w:rPr>
                <w:rFonts w:hint="eastAsia"/>
              </w:rPr>
            </w:pPr>
            <w:r>
              <w:rPr>
                <w:color w:val="1F1F1F"/>
                <w:sz w:val="18"/>
                <w:szCs w:val="18"/>
              </w:rPr>
              <w:t>Claims Platform Engineering; FinOps (token showback)</w:t>
            </w:r>
          </w:p>
        </w:tc>
      </w:tr>
      <w:tr w:rsidR="00FE28CC">
        <w:trPr>
          <w:jc w:val="center"/>
        </w:trPr>
        <w:tc>
          <w:tcPr>
            <w:tcW w:w="2000" w:type="dxa"/>
          </w:tcPr>
          <w:p w:rsidR="00FE28CC" w:rsidRDefault="00BE491E">
            <w:pPr>
              <w:spacing w:after="0" w:line="240" w:lineRule="auto"/>
              <w:rPr>
                <w:rFonts w:hint="eastAsia"/>
              </w:rPr>
            </w:pPr>
            <w:r>
              <w:rPr>
                <w:color w:val="1F1F1F"/>
                <w:sz w:val="18"/>
                <w:szCs w:val="18"/>
              </w:rPr>
              <w:t>fraud.routing_decision</w:t>
            </w:r>
          </w:p>
        </w:tc>
        <w:tc>
          <w:tcPr>
            <w:tcW w:w="1900" w:type="dxa"/>
          </w:tcPr>
          <w:p w:rsidR="00FE28CC" w:rsidRDefault="00BE491E">
            <w:pPr>
              <w:spacing w:after="0" w:line="240" w:lineRule="auto"/>
              <w:rPr>
                <w:rFonts w:hint="eastAsia"/>
              </w:rPr>
            </w:pPr>
            <w:r>
              <w:rPr>
                <w:color w:val="1F1F1F"/>
                <w:sz w:val="18"/>
                <w:szCs w:val="18"/>
              </w:rPr>
              <w:t>Routing gate in the controller</w:t>
            </w:r>
          </w:p>
        </w:tc>
        <w:tc>
          <w:tcPr>
            <w:tcW w:w="3000" w:type="dxa"/>
          </w:tcPr>
          <w:p w:rsidR="00FE28CC" w:rsidRDefault="00BE491E">
            <w:pPr>
              <w:spacing w:after="0" w:line="240" w:lineRule="auto"/>
              <w:rPr>
                <w:rFonts w:hint="eastAsia"/>
              </w:rPr>
            </w:pPr>
            <w:r>
              <w:rPr>
                <w:color w:val="1F1F1F"/>
                <w:sz w:val="18"/>
                <w:szCs w:val="18"/>
              </w:rPr>
              <w:t>fraud_risk_score, risk_classification, rule ID fired, routing-rules version, route, settlement_hold_required</w:t>
            </w:r>
          </w:p>
        </w:tc>
        <w:tc>
          <w:tcPr>
            <w:tcW w:w="1650" w:type="dxa"/>
          </w:tcPr>
          <w:p w:rsidR="00FE28CC" w:rsidRDefault="00BE491E">
            <w:pPr>
              <w:spacing w:after="0" w:line="240" w:lineRule="auto"/>
              <w:rPr>
                <w:rFonts w:hint="eastAsia"/>
              </w:rPr>
            </w:pPr>
            <w:r>
              <w:rPr>
                <w:color w:val="1F1F1F"/>
                <w:sz w:val="18"/>
                <w:szCs w:val="18"/>
              </w:rPr>
              <w:t>No PII</w:t>
            </w:r>
          </w:p>
        </w:tc>
        <w:tc>
          <w:tcPr>
            <w:tcW w:w="1818" w:type="dxa"/>
            <w:shd w:val="clear" w:color="auto" w:fill="F8F9FB"/>
          </w:tcPr>
          <w:p w:rsidR="00FE28CC" w:rsidRDefault="00BE491E">
            <w:pPr>
              <w:spacing w:after="0" w:line="240" w:lineRule="auto"/>
              <w:rPr>
                <w:rFonts w:hint="eastAsia"/>
              </w:rPr>
            </w:pPr>
            <w:r>
              <w:rPr>
                <w:color w:val="1F1F1F"/>
                <w:sz w:val="18"/>
                <w:szCs w:val="18"/>
              </w:rPr>
              <w:t>Claims Compliance and I</w:t>
            </w:r>
            <w:r>
              <w:rPr>
                <w:color w:val="1F1F1F"/>
                <w:sz w:val="18"/>
                <w:szCs w:val="18"/>
              </w:rPr>
              <w:t>nternal Audit; SIU Manager</w:t>
            </w:r>
          </w:p>
        </w:tc>
      </w:tr>
      <w:tr w:rsidR="00FE28CC">
        <w:trPr>
          <w:jc w:val="center"/>
        </w:trPr>
        <w:tc>
          <w:tcPr>
            <w:tcW w:w="2000" w:type="dxa"/>
          </w:tcPr>
          <w:p w:rsidR="00FE28CC" w:rsidRDefault="00BE491E">
            <w:pPr>
              <w:spacing w:after="0" w:line="240" w:lineRule="auto"/>
              <w:rPr>
                <w:rFonts w:hint="eastAsia"/>
              </w:rPr>
            </w:pPr>
            <w:r>
              <w:rPr>
                <w:color w:val="1F1F1F"/>
                <w:sz w:val="18"/>
                <w:szCs w:val="18"/>
              </w:rPr>
              <w:t>pii.redaction</w:t>
            </w:r>
          </w:p>
        </w:tc>
        <w:tc>
          <w:tcPr>
            <w:tcW w:w="1900" w:type="dxa"/>
          </w:tcPr>
          <w:p w:rsidR="00FE28CC" w:rsidRDefault="00BE491E">
            <w:pPr>
              <w:spacing w:after="0" w:line="240" w:lineRule="auto"/>
              <w:rPr>
                <w:rFonts w:hint="eastAsia"/>
              </w:rPr>
            </w:pPr>
            <w:r>
              <w:rPr>
                <w:color w:val="1F1F1F"/>
                <w:sz w:val="18"/>
                <w:szCs w:val="18"/>
              </w:rPr>
              <w:t>Redaction step of the handoff gate</w:t>
            </w:r>
          </w:p>
        </w:tc>
        <w:tc>
          <w:tcPr>
            <w:tcW w:w="3000" w:type="dxa"/>
          </w:tcPr>
          <w:p w:rsidR="00FE28CC" w:rsidRDefault="00BE491E">
            <w:pPr>
              <w:spacing w:after="0" w:line="240" w:lineRule="auto"/>
              <w:rPr>
                <w:rFonts w:hint="eastAsia"/>
              </w:rPr>
            </w:pPr>
            <w:r>
              <w:rPr>
                <w:color w:val="1F1F1F"/>
                <w:sz w:val="18"/>
                <w:szCs w:val="18"/>
              </w:rPr>
              <w:t>Count of entities redacted per category, Language API status, regex backstop hits, duration</w:t>
            </w:r>
          </w:p>
        </w:tc>
        <w:tc>
          <w:tcPr>
            <w:tcW w:w="1650" w:type="dxa"/>
          </w:tcPr>
          <w:p w:rsidR="00FE28CC" w:rsidRDefault="00BE491E">
            <w:pPr>
              <w:spacing w:after="0" w:line="240" w:lineRule="auto"/>
              <w:rPr>
                <w:rFonts w:hint="eastAsia"/>
              </w:rPr>
            </w:pPr>
            <w:r>
              <w:rPr>
                <w:color w:val="1F1F1F"/>
                <w:sz w:val="18"/>
                <w:szCs w:val="18"/>
              </w:rPr>
              <w:t>Counts only, never values</w:t>
            </w:r>
          </w:p>
        </w:tc>
        <w:tc>
          <w:tcPr>
            <w:tcW w:w="1818" w:type="dxa"/>
            <w:shd w:val="clear" w:color="auto" w:fill="F8F9FB"/>
          </w:tcPr>
          <w:p w:rsidR="00FE28CC" w:rsidRDefault="00BE491E">
            <w:pPr>
              <w:spacing w:after="0" w:line="240" w:lineRule="auto"/>
              <w:rPr>
                <w:rFonts w:hint="eastAsia"/>
              </w:rPr>
            </w:pPr>
            <w:r>
              <w:rPr>
                <w:color w:val="1F1F1F"/>
                <w:sz w:val="18"/>
                <w:szCs w:val="18"/>
              </w:rPr>
              <w:t>Operations Privacy Officer; Claims Platform Engineering</w:t>
            </w:r>
          </w:p>
        </w:tc>
      </w:tr>
      <w:tr w:rsidR="00FE28CC">
        <w:trPr>
          <w:jc w:val="center"/>
        </w:trPr>
        <w:tc>
          <w:tcPr>
            <w:tcW w:w="2000" w:type="dxa"/>
          </w:tcPr>
          <w:p w:rsidR="00FE28CC" w:rsidRDefault="00BE491E">
            <w:pPr>
              <w:spacing w:after="0" w:line="240" w:lineRule="auto"/>
              <w:rPr>
                <w:rFonts w:hint="eastAsia"/>
              </w:rPr>
            </w:pPr>
            <w:r>
              <w:rPr>
                <w:color w:val="1F1F1F"/>
                <w:sz w:val="18"/>
                <w:szCs w:val="18"/>
              </w:rPr>
              <w:t>escalation.enqueue</w:t>
            </w:r>
          </w:p>
        </w:tc>
        <w:tc>
          <w:tcPr>
            <w:tcW w:w="1900" w:type="dxa"/>
          </w:tcPr>
          <w:p w:rsidR="00FE28CC" w:rsidRDefault="00BE491E">
            <w:pPr>
              <w:spacing w:after="0" w:line="240" w:lineRule="auto"/>
              <w:rPr>
                <w:rFonts w:hint="eastAsia"/>
              </w:rPr>
            </w:pPr>
            <w:r>
              <w:rPr>
                <w:color w:val="1F1F1F"/>
                <w:sz w:val="18"/>
                <w:szCs w:val="18"/>
              </w:rPr>
              <w:t>Controller → Service Bus escalation queues</w:t>
            </w:r>
          </w:p>
        </w:tc>
        <w:tc>
          <w:tcPr>
            <w:tcW w:w="3000" w:type="dxa"/>
          </w:tcPr>
          <w:p w:rsidR="00FE28CC" w:rsidRDefault="00BE491E">
            <w:pPr>
              <w:spacing w:after="0" w:line="240" w:lineRule="auto"/>
              <w:rPr>
                <w:rFonts w:hint="eastAsia"/>
              </w:rPr>
            </w:pPr>
            <w:r>
              <w:rPr>
                <w:color w:val="1F1F1F"/>
                <w:sz w:val="18"/>
                <w:szCs w:val="18"/>
              </w:rPr>
              <w:t>Condition ID (ESC-001 to ESC-007), queue name, Service Bus message ID, CorrelationId, checkpoint ID</w:t>
            </w:r>
          </w:p>
        </w:tc>
        <w:tc>
          <w:tcPr>
            <w:tcW w:w="1650" w:type="dxa"/>
          </w:tcPr>
          <w:p w:rsidR="00FE28CC" w:rsidRDefault="00BE491E">
            <w:pPr>
              <w:spacing w:after="0" w:line="240" w:lineRule="auto"/>
              <w:rPr>
                <w:rFonts w:hint="eastAsia"/>
              </w:rPr>
            </w:pPr>
            <w:r>
              <w:rPr>
                <w:color w:val="1F1F1F"/>
                <w:sz w:val="18"/>
                <w:szCs w:val="18"/>
              </w:rPr>
              <w:t>Identifiers only</w:t>
            </w:r>
          </w:p>
        </w:tc>
        <w:tc>
          <w:tcPr>
            <w:tcW w:w="1818" w:type="dxa"/>
            <w:shd w:val="clear" w:color="auto" w:fill="F8F9FB"/>
          </w:tcPr>
          <w:p w:rsidR="00FE28CC" w:rsidRDefault="00BE491E">
            <w:pPr>
              <w:spacing w:after="0" w:line="240" w:lineRule="auto"/>
              <w:rPr>
                <w:rFonts w:hint="eastAsia"/>
              </w:rPr>
            </w:pPr>
            <w:r>
              <w:rPr>
                <w:color w:val="1F1F1F"/>
                <w:sz w:val="18"/>
                <w:szCs w:val="18"/>
              </w:rPr>
              <w:t>Queue owners (SIU, Large Loss Unit, adjusters); Internal Audit</w:t>
            </w:r>
          </w:p>
        </w:tc>
      </w:tr>
    </w:tbl>
    <w:p w:rsidR="00FE28CC" w:rsidRDefault="00BE491E">
      <w:pPr>
        <w:spacing w:before="80" w:after="60" w:line="264" w:lineRule="auto"/>
        <w:rPr>
          <w:rFonts w:hint="eastAsia"/>
        </w:rPr>
      </w:pPr>
      <w:r>
        <w:rPr>
          <w:b/>
          <w:color w:val="1F1F1F"/>
          <w:sz w:val="18"/>
          <w:szCs w:val="18"/>
        </w:rPr>
        <w:t>Capture targe</w:t>
      </w:r>
      <w:r>
        <w:rPr>
          <w:b/>
          <w:color w:val="1F1F1F"/>
          <w:sz w:val="18"/>
          <w:szCs w:val="18"/>
        </w:rPr>
        <w:t>t for every span:</w:t>
      </w:r>
      <w:r>
        <w:rPr>
          <w:color w:val="1F1F1F"/>
          <w:sz w:val="18"/>
          <w:szCs w:val="18"/>
        </w:rPr>
        <w:t xml:space="preserve"> Application Insights </w:t>
      </w:r>
      <w:r>
        <w:rPr>
          <w:rFonts w:ascii="Consolas" w:hAnsi="Consolas" w:cs="Consolas"/>
          <w:color w:val="1F1F1F"/>
          <w:sz w:val="16"/>
          <w:szCs w:val="16"/>
        </w:rPr>
        <w:t>appi-apex-claims-prod</w:t>
      </w:r>
      <w:r>
        <w:rPr>
          <w:color w:val="1F1F1F"/>
          <w:sz w:val="18"/>
          <w:szCs w:val="18"/>
        </w:rPr>
        <w:t xml:space="preserve"> (workspace-based, Log Analytics </w:t>
      </w:r>
      <w:r>
        <w:rPr>
          <w:rFonts w:ascii="Consolas" w:hAnsi="Consolas" w:cs="Consolas"/>
          <w:color w:val="1F1F1F"/>
          <w:sz w:val="16"/>
          <w:szCs w:val="16"/>
        </w:rPr>
        <w:t>log-apex-claims-prod</w:t>
      </w:r>
      <w:r>
        <w:rPr>
          <w:color w:val="1F1F1F"/>
          <w:sz w:val="18"/>
          <w:szCs w:val="18"/>
        </w:rPr>
        <w:t xml:space="preserve">), with sampling disabled for Claims spans and attribute </w:t>
      </w:r>
      <w:r>
        <w:rPr>
          <w:rFonts w:ascii="Consolas" w:hAnsi="Consolas" w:cs="Consolas"/>
          <w:color w:val="1F1F1F"/>
          <w:sz w:val="16"/>
          <w:szCs w:val="16"/>
        </w:rPr>
        <w:t>apex.correlation_id</w:t>
      </w:r>
      <w:r>
        <w:rPr>
          <w:color w:val="1F1F1F"/>
          <w:sz w:val="18"/>
          <w:szCs w:val="18"/>
        </w:rPr>
        <w:t xml:space="preserve"> on every span. A daily export goes to </w:t>
      </w:r>
      <w:r>
        <w:rPr>
          <w:rFonts w:ascii="Consolas" w:hAnsi="Consolas" w:cs="Consolas"/>
          <w:color w:val="1F1F1F"/>
          <w:sz w:val="16"/>
          <w:szCs w:val="16"/>
        </w:rPr>
        <w:t>stapexclaimsaudit</w:t>
      </w:r>
      <w:r>
        <w:rPr>
          <w:color w:val="1F1F1F"/>
          <w:sz w:val="18"/>
          <w:szCs w:val="18"/>
        </w:rPr>
        <w:t xml:space="preserve"> under a ti</w:t>
      </w:r>
      <w:r>
        <w:rPr>
          <w:color w:val="1F1F1F"/>
          <w:sz w:val="18"/>
          <w:szCs w:val="18"/>
        </w:rPr>
        <w:t xml:space="preserve">me-based immutability policy (7 years, pending Records Management confirmation). Engineers use the Foundry tracing view in </w:t>
      </w:r>
      <w:r>
        <w:rPr>
          <w:rFonts w:ascii="Consolas" w:hAnsi="Consolas" w:cs="Consolas"/>
          <w:color w:val="1F1F1F"/>
          <w:sz w:val="16"/>
          <w:szCs w:val="16"/>
        </w:rPr>
        <w:t>proj-apex-claims-processing</w:t>
      </w:r>
      <w:r>
        <w:rPr>
          <w:color w:val="1F1F1F"/>
          <w:sz w:val="18"/>
          <w:szCs w:val="18"/>
        </w:rPr>
        <w:t>. Claims Compliance and Internal Audit have read-only access to the audit workspace. Legal receives curate</w:t>
      </w:r>
      <w:r>
        <w:rPr>
          <w:color w:val="1F1F1F"/>
          <w:sz w:val="18"/>
          <w:szCs w:val="18"/>
        </w:rPr>
        <w:t>d audit reports, never direct access, which preserves the Section 1 isolation.</w:t>
      </w:r>
    </w:p>
    <w:p w:rsidR="00FE28CC" w:rsidRDefault="00FE28CC">
      <w:pPr>
        <w:rPr>
          <w:rFonts w:hint="eastAsia"/>
        </w:rPr>
      </w:pPr>
    </w:p>
    <w:p w:rsidR="00FE28CC" w:rsidRDefault="00BE491E">
      <w:pPr>
        <w:pStyle w:val="Heading2"/>
      </w:pPr>
      <w:r>
        <w:t>5. Stabilization Decision Summary</w:t>
      </w:r>
    </w:p>
    <w:tbl>
      <w:tblPr>
        <w:tblStyle w:val="TableGrid"/>
        <w:tblW w:w="10368" w:type="dxa"/>
        <w:jc w:val="center"/>
        <w:tblLook w:val="04A0" w:firstRow="1" w:lastRow="0" w:firstColumn="1" w:lastColumn="0" w:noHBand="0" w:noVBand="1"/>
      </w:tblPr>
      <w:tblGrid>
        <w:gridCol w:w="2600"/>
        <w:gridCol w:w="7768"/>
      </w:tblGrid>
      <w:tr w:rsidR="00FE28CC">
        <w:trPr>
          <w:tblHeader/>
          <w:jc w:val="center"/>
        </w:trPr>
        <w:tc>
          <w:tcPr>
            <w:tcW w:w="2600" w:type="dxa"/>
            <w:shd w:val="clear" w:color="auto" w:fill="1F4E79"/>
          </w:tcPr>
          <w:p w:rsidR="00FE28CC" w:rsidRDefault="00BE491E">
            <w:pPr>
              <w:spacing w:after="0" w:line="240" w:lineRule="auto"/>
              <w:rPr>
                <w:rFonts w:hint="eastAsia"/>
              </w:rPr>
            </w:pPr>
            <w:r>
              <w:rPr>
                <w:b/>
                <w:color w:val="FFFFFF"/>
                <w:sz w:val="18"/>
              </w:rPr>
              <w:t>Question</w:t>
            </w:r>
          </w:p>
        </w:tc>
        <w:tc>
          <w:tcPr>
            <w:tcW w:w="7768" w:type="dxa"/>
            <w:shd w:val="clear" w:color="auto" w:fill="1F4E79"/>
          </w:tcPr>
          <w:p w:rsidR="00FE28CC" w:rsidRDefault="00BE491E">
            <w:pPr>
              <w:spacing w:after="0" w:line="240" w:lineRule="auto"/>
              <w:rPr>
                <w:rFonts w:hint="eastAsia"/>
              </w:rPr>
            </w:pPr>
            <w:r>
              <w:rPr>
                <w:b/>
                <w:color w:val="FFFFFF"/>
                <w:sz w:val="18"/>
              </w:rPr>
              <w:t>Learner Response</w:t>
            </w:r>
          </w:p>
        </w:tc>
      </w:tr>
      <w:tr w:rsidR="00FE28CC">
        <w:trPr>
          <w:jc w:val="center"/>
        </w:trPr>
        <w:tc>
          <w:tcPr>
            <w:tcW w:w="2600" w:type="dxa"/>
          </w:tcPr>
          <w:p w:rsidR="00FE28CC" w:rsidRDefault="00BE491E">
            <w:pPr>
              <w:spacing w:after="0" w:line="240" w:lineRule="auto"/>
              <w:rPr>
                <w:rFonts w:hint="eastAsia"/>
              </w:rPr>
            </w:pPr>
            <w:r>
              <w:rPr>
                <w:color w:val="1F1F1F"/>
                <w:sz w:val="18"/>
              </w:rPr>
              <w:t>Can the workflow survive external API outage without blank settlement letters?</w:t>
            </w:r>
          </w:p>
        </w:tc>
        <w:tc>
          <w:tcPr>
            <w:tcW w:w="7768" w:type="dxa"/>
            <w:shd w:val="clear" w:color="auto" w:fill="F8F9FB"/>
          </w:tcPr>
          <w:p w:rsidR="00FE28CC" w:rsidRDefault="00BE491E">
            <w:pPr>
              <w:spacing w:after="0" w:line="240" w:lineRule="auto"/>
              <w:rPr>
                <w:rFonts w:hint="eastAsia"/>
              </w:rPr>
            </w:pPr>
            <w:r>
              <w:rPr>
                <w:b/>
                <w:color w:val="1F1F1F"/>
                <w:sz w:val="18"/>
                <w:szCs w:val="18"/>
              </w:rPr>
              <w:t>Yes.</w:t>
            </w:r>
            <w:r>
              <w:rPr>
                <w:color w:val="1F1F1F"/>
                <w:sz w:val="18"/>
                <w:szCs w:val="18"/>
              </w:rPr>
              <w:t xml:space="preserve"> The APIM circuit breaker (FN-001) fails fast after 5 failures in 60 seconds. Claims then either use a real cached result of 30 days or less (CACHED, claims of $250,000 or less only) or are parked as AWAITING_EXTERNAL_VERIFICATION with a checkpoint. The Se</w:t>
            </w:r>
            <w:r>
              <w:rPr>
                <w:color w:val="1F1F1F"/>
                <w:sz w:val="18"/>
                <w:szCs w:val="18"/>
              </w:rPr>
              <w:t>ttlement Specialist only receives a handoff with a non-null fraud_risk_score and status COMPLETED or CACHED, and the validation gate (FN-002) is a second barrier. No blank or partial letter can be produced: claims are delayed, not degraded. After 4 hours a</w:t>
            </w:r>
            <w:r>
              <w:rPr>
                <w:color w:val="1F1F1F"/>
                <w:sz w:val="18"/>
                <w:szCs w:val="18"/>
              </w:rPr>
              <w:t>n adjuster takes over (ESC-005).</w:t>
            </w:r>
          </w:p>
        </w:tc>
      </w:tr>
      <w:tr w:rsidR="00FE28CC">
        <w:trPr>
          <w:jc w:val="center"/>
        </w:trPr>
        <w:tc>
          <w:tcPr>
            <w:tcW w:w="2600" w:type="dxa"/>
          </w:tcPr>
          <w:p w:rsidR="00FE28CC" w:rsidRDefault="00BE491E">
            <w:pPr>
              <w:spacing w:after="0" w:line="240" w:lineRule="auto"/>
              <w:rPr>
                <w:rFonts w:hint="eastAsia"/>
              </w:rPr>
            </w:pPr>
            <w:r>
              <w:rPr>
                <w:color w:val="1F1F1F"/>
                <w:sz w:val="18"/>
              </w:rPr>
              <w:t xml:space="preserve">Can malformed settlement </w:t>
            </w:r>
            <w:r>
              <w:rPr>
                <w:color w:val="1F1F1F"/>
                <w:sz w:val="18"/>
              </w:rPr>
              <w:lastRenderedPageBreak/>
              <w:t>output be stopped before downstream use?</w:t>
            </w:r>
          </w:p>
        </w:tc>
        <w:tc>
          <w:tcPr>
            <w:tcW w:w="7768" w:type="dxa"/>
            <w:shd w:val="clear" w:color="auto" w:fill="F8F9FB"/>
          </w:tcPr>
          <w:p w:rsidR="00FE28CC" w:rsidRDefault="00BE491E">
            <w:pPr>
              <w:spacing w:after="0" w:line="240" w:lineRule="auto"/>
              <w:rPr>
                <w:rFonts w:hint="eastAsia"/>
              </w:rPr>
            </w:pPr>
            <w:r>
              <w:rPr>
                <w:b/>
                <w:color w:val="1F1F1F"/>
                <w:sz w:val="18"/>
                <w:szCs w:val="18"/>
              </w:rPr>
              <w:lastRenderedPageBreak/>
              <w:t>Yes.</w:t>
            </w:r>
            <w:r>
              <w:rPr>
                <w:color w:val="1F1F1F"/>
                <w:sz w:val="18"/>
                <w:szCs w:val="18"/>
              </w:rPr>
              <w:t xml:space="preserve"> The validation failure branch (FN-002) checks every Settlement output against the schema and </w:t>
            </w:r>
            <w:r>
              <w:rPr>
                <w:color w:val="1F1F1F"/>
                <w:sz w:val="18"/>
                <w:szCs w:val="18"/>
              </w:rPr>
              <w:lastRenderedPageBreak/>
              <w:t>rules V1 to V9 before rendering. There is one regeneration</w:t>
            </w:r>
            <w:r>
              <w:rPr>
                <w:color w:val="1F1F1F"/>
                <w:sz w:val="18"/>
                <w:szCs w:val="18"/>
              </w:rPr>
              <w:t xml:space="preserve"> with the error list, then manual drafting (ESC-007). The Letter Rendering Service only accepts letter_validation_status = PASSED, and an adjuster releases every letter, so a malformed draft never reaches a policyholder.</w:t>
            </w:r>
          </w:p>
        </w:tc>
      </w:tr>
      <w:tr w:rsidR="00FE28CC">
        <w:trPr>
          <w:jc w:val="center"/>
        </w:trPr>
        <w:tc>
          <w:tcPr>
            <w:tcW w:w="2600" w:type="dxa"/>
          </w:tcPr>
          <w:p w:rsidR="00FE28CC" w:rsidRDefault="00BE491E">
            <w:pPr>
              <w:spacing w:after="0" w:line="240" w:lineRule="auto"/>
              <w:rPr>
                <w:rFonts w:hint="eastAsia"/>
              </w:rPr>
            </w:pPr>
            <w:r>
              <w:rPr>
                <w:color w:val="1F1F1F"/>
                <w:sz w:val="18"/>
              </w:rPr>
              <w:lastRenderedPageBreak/>
              <w:t>Can compliance reconstruct agent i</w:t>
            </w:r>
            <w:r>
              <w:rPr>
                <w:color w:val="1F1F1F"/>
                <w:sz w:val="18"/>
              </w:rPr>
              <w:t>nteractions for audit?</w:t>
            </w:r>
          </w:p>
        </w:tc>
        <w:tc>
          <w:tcPr>
            <w:tcW w:w="7768" w:type="dxa"/>
            <w:shd w:val="clear" w:color="auto" w:fill="F8F9FB"/>
          </w:tcPr>
          <w:p w:rsidR="00FE28CC" w:rsidRDefault="00BE491E">
            <w:pPr>
              <w:spacing w:after="0" w:line="240" w:lineRule="auto"/>
              <w:rPr>
                <w:rFonts w:hint="eastAsia"/>
              </w:rPr>
            </w:pPr>
            <w:r>
              <w:rPr>
                <w:b/>
                <w:color w:val="1F1F1F"/>
                <w:sz w:val="18"/>
                <w:szCs w:val="18"/>
              </w:rPr>
              <w:t>Yes.</w:t>
            </w:r>
            <w:r>
              <w:rPr>
                <w:color w:val="1F1F1F"/>
                <w:sz w:val="18"/>
                <w:szCs w:val="18"/>
              </w:rPr>
              <w:t xml:space="preserve"> Every agent invocation, tool call, routing decision, redaction, handoff, validation and escalation emits a span carrying apex.correlation_id (FN-003). Handoffs record sender, receiver, caller identity and a payload hash. Spans a</w:t>
            </w:r>
            <w:r>
              <w:rPr>
                <w:color w:val="1F1F1F"/>
                <w:sz w:val="18"/>
                <w:szCs w:val="18"/>
              </w:rPr>
              <w:t>re exported daily to immutable storage. A release gate and a fail-closed handoff check stop the workflow from running without instrumentation. Compliance rebuilds a claim’s full path with one query on correlation_id.</w:t>
            </w:r>
          </w:p>
        </w:tc>
      </w:tr>
      <w:tr w:rsidR="00FE28CC">
        <w:trPr>
          <w:jc w:val="center"/>
        </w:trPr>
        <w:tc>
          <w:tcPr>
            <w:tcW w:w="2600" w:type="dxa"/>
          </w:tcPr>
          <w:p w:rsidR="00FE28CC" w:rsidRDefault="00BE491E">
            <w:pPr>
              <w:spacing w:after="0" w:line="240" w:lineRule="auto"/>
              <w:rPr>
                <w:rFonts w:hint="eastAsia"/>
              </w:rPr>
            </w:pPr>
            <w:r>
              <w:rPr>
                <w:color w:val="1F1F1F"/>
                <w:sz w:val="18"/>
              </w:rPr>
              <w:t>Open risks or assumptions</w:t>
            </w:r>
          </w:p>
        </w:tc>
        <w:tc>
          <w:tcPr>
            <w:tcW w:w="7768" w:type="dxa"/>
            <w:shd w:val="clear" w:color="auto" w:fill="F8F9FB"/>
          </w:tcPr>
          <w:p w:rsidR="00FE28CC" w:rsidRDefault="00BE491E">
            <w:pPr>
              <w:numPr>
                <w:ilvl w:val="0"/>
                <w:numId w:val="1"/>
              </w:numPr>
              <w:spacing w:after="20" w:line="240" w:lineRule="auto"/>
              <w:rPr>
                <w:rFonts w:hint="eastAsia"/>
              </w:rPr>
            </w:pPr>
            <w:r>
              <w:rPr>
                <w:b/>
                <w:color w:val="1F1F1F"/>
                <w:sz w:val="18"/>
                <w:szCs w:val="18"/>
              </w:rPr>
              <w:t>R1:</w:t>
            </w:r>
            <w:r>
              <w:rPr>
                <w:color w:val="1F1F1F"/>
                <w:sz w:val="18"/>
                <w:szCs w:val="18"/>
              </w:rPr>
              <w:t xml:space="preserve"> Vendor outages longer than 4 hours shift work to adjusters; staffing for that surge is not yet planned (owner: Claims Operations).</w:t>
            </w:r>
          </w:p>
          <w:p w:rsidR="00FE28CC" w:rsidRDefault="00BE491E">
            <w:pPr>
              <w:numPr>
                <w:ilvl w:val="0"/>
                <w:numId w:val="1"/>
              </w:numPr>
              <w:spacing w:after="20" w:line="240" w:lineRule="auto"/>
              <w:rPr>
                <w:rFonts w:hint="eastAsia"/>
              </w:rPr>
            </w:pPr>
            <w:r>
              <w:rPr>
                <w:b/>
                <w:color w:val="1F1F1F"/>
                <w:sz w:val="18"/>
                <w:szCs w:val="18"/>
              </w:rPr>
              <w:t>R2:</w:t>
            </w:r>
            <w:r>
              <w:rPr>
                <w:color w:val="1F1F1F"/>
                <w:sz w:val="18"/>
                <w:szCs w:val="18"/>
              </w:rPr>
              <w:t xml:space="preserve"> The 30-day cache limit and the $250,000 cut-off for cached results are initial values for SIU to confirm.</w:t>
            </w:r>
          </w:p>
          <w:p w:rsidR="00FE28CC" w:rsidRDefault="00BE491E">
            <w:pPr>
              <w:numPr>
                <w:ilvl w:val="0"/>
                <w:numId w:val="1"/>
              </w:numPr>
              <w:spacing w:after="20" w:line="240" w:lineRule="auto"/>
              <w:rPr>
                <w:rFonts w:hint="eastAsia"/>
              </w:rPr>
            </w:pPr>
            <w:r>
              <w:rPr>
                <w:b/>
                <w:color w:val="1F1F1F"/>
                <w:sz w:val="18"/>
                <w:szCs w:val="18"/>
              </w:rPr>
              <w:t>R3:</w:t>
            </w:r>
            <w:r>
              <w:rPr>
                <w:color w:val="1F1F1F"/>
                <w:sz w:val="18"/>
                <w:szCs w:val="18"/>
              </w:rPr>
              <w:t xml:space="preserve"> Circuit-breaker thresholds (5 failures in 60 seconds, 120-second trip) need tuning against a vendor latency baseline during the pilot.</w:t>
            </w:r>
          </w:p>
          <w:p w:rsidR="00FE28CC" w:rsidRDefault="00BE491E">
            <w:pPr>
              <w:numPr>
                <w:ilvl w:val="0"/>
                <w:numId w:val="1"/>
              </w:numPr>
              <w:spacing w:after="20" w:line="240" w:lineRule="auto"/>
              <w:rPr>
                <w:rFonts w:hint="eastAsia"/>
              </w:rPr>
            </w:pPr>
            <w:r>
              <w:rPr>
                <w:b/>
                <w:color w:val="1F1F1F"/>
                <w:sz w:val="18"/>
                <w:szCs w:val="18"/>
              </w:rPr>
              <w:t>R4:</w:t>
            </w:r>
            <w:r>
              <w:rPr>
                <w:color w:val="1F1F1F"/>
                <w:sz w:val="18"/>
                <w:szCs w:val="18"/>
              </w:rPr>
              <w:t xml:space="preserve"> Fraud score calibration (fraud-weights v2026.10) needs back-testing on closed SIU cases before go-live. If threshold</w:t>
            </w:r>
            <w:r>
              <w:rPr>
                <w:color w:val="1F1F1F"/>
                <w:sz w:val="18"/>
                <w:szCs w:val="18"/>
              </w:rPr>
              <w:t>s 0.60 and 0.85 move, Sections 2 and 3 must be updated together.</w:t>
            </w:r>
          </w:p>
          <w:p w:rsidR="00FE28CC" w:rsidRDefault="00BE491E">
            <w:pPr>
              <w:numPr>
                <w:ilvl w:val="0"/>
                <w:numId w:val="1"/>
              </w:numPr>
              <w:spacing w:after="20" w:line="240" w:lineRule="auto"/>
              <w:rPr>
                <w:rFonts w:hint="eastAsia"/>
              </w:rPr>
            </w:pPr>
            <w:r>
              <w:rPr>
                <w:b/>
                <w:color w:val="1F1F1F"/>
                <w:sz w:val="18"/>
                <w:szCs w:val="18"/>
              </w:rPr>
              <w:t>R5:</w:t>
            </w:r>
            <w:r>
              <w:rPr>
                <w:color w:val="1F1F1F"/>
                <w:sz w:val="18"/>
                <w:szCs w:val="18"/>
              </w:rPr>
              <w:t xml:space="preserve"> Seven-year telemetry retention and immutability are pending Records Management (Section 1, assumption A5).</w:t>
            </w:r>
          </w:p>
          <w:p w:rsidR="00FE28CC" w:rsidRDefault="00BE491E">
            <w:pPr>
              <w:numPr>
                <w:ilvl w:val="0"/>
                <w:numId w:val="1"/>
              </w:numPr>
              <w:spacing w:after="0" w:line="240" w:lineRule="auto"/>
              <w:rPr>
                <w:rFonts w:hint="eastAsia"/>
              </w:rPr>
            </w:pPr>
            <w:r>
              <w:rPr>
                <w:b/>
                <w:color w:val="1F1F1F"/>
                <w:sz w:val="18"/>
                <w:szCs w:val="18"/>
              </w:rPr>
              <w:t>R6:</w:t>
            </w:r>
            <w:r>
              <w:rPr>
                <w:color w:val="1F1F1F"/>
                <w:sz w:val="18"/>
                <w:szCs w:val="18"/>
              </w:rPr>
              <w:t xml:space="preserve"> Legal cannot access claims telemetry by design; regulatory exam requests are</w:t>
            </w:r>
            <w:r>
              <w:rPr>
                <w:color w:val="1F1F1F"/>
                <w:sz w:val="18"/>
                <w:szCs w:val="18"/>
              </w:rPr>
              <w:t xml:space="preserve"> served through Internal Audit reports.</w:t>
            </w:r>
          </w:p>
        </w:tc>
      </w:tr>
    </w:tbl>
    <w:p w:rsidR="00FE28CC" w:rsidRDefault="00FE28CC">
      <w:pPr>
        <w:rPr>
          <w:rFonts w:hint="eastAsia"/>
        </w:rPr>
      </w:pPr>
    </w:p>
    <w:p w:rsidR="00FE28CC" w:rsidRDefault="00BE491E">
      <w:pPr>
        <w:pStyle w:val="Heading2"/>
      </w:pPr>
      <w:r>
        <w:t>Submission Checklist</w:t>
      </w:r>
    </w:p>
    <w:p w:rsidR="00FE28CC" w:rsidRDefault="00BE491E">
      <w:pPr>
        <w:rPr>
          <w:rFonts w:hint="eastAsia"/>
        </w:rPr>
      </w:pPr>
      <w:r>
        <w:rPr>
          <w:rFonts w:ascii="Segoe UI Symbol" w:eastAsia="Segoe UI Symbol" w:hAnsi="Segoe UI Symbol" w:cs="Segoe UI Symbol"/>
          <w:b/>
        </w:rPr>
        <w:t>☑</w:t>
      </w:r>
      <w:r>
        <w:rPr>
          <w:rFonts w:ascii="Segoe UI Symbol" w:eastAsia="Segoe UI Symbol" w:hAnsi="Segoe UI Symbol" w:cs="Segoe UI Symbol"/>
          <w:b/>
        </w:rPr>
        <w:t xml:space="preserve"> </w:t>
      </w:r>
      <w:r>
        <w:t>Three failure nodes are specific to the Claims Processing architecture.</w:t>
      </w:r>
    </w:p>
    <w:p w:rsidR="00FE28CC" w:rsidRDefault="00BE491E">
      <w:pPr>
        <w:rPr>
          <w:rFonts w:hint="eastAsia"/>
        </w:rPr>
      </w:pPr>
      <w:r>
        <w:rPr>
          <w:rFonts w:ascii="Segoe UI Symbol" w:eastAsia="Segoe UI Symbol" w:hAnsi="Segoe UI Symbol" w:cs="Segoe UI Symbol"/>
          <w:b/>
        </w:rPr>
        <w:t>☑</w:t>
      </w:r>
      <w:r>
        <w:rPr>
          <w:rFonts w:ascii="Segoe UI Symbol" w:eastAsia="Segoe UI Symbol" w:hAnsi="Segoe UI Symbol" w:cs="Segoe UI Symbol"/>
          <w:b/>
        </w:rPr>
        <w:t xml:space="preserve"> </w:t>
      </w:r>
      <w:r>
        <w:t>External fraud/public records API uses a circuit breaker, not retry-only handling.</w:t>
      </w:r>
    </w:p>
    <w:p w:rsidR="00FE28CC" w:rsidRDefault="00BE491E">
      <w:pPr>
        <w:rPr>
          <w:rFonts w:hint="eastAsia"/>
        </w:rPr>
      </w:pPr>
      <w:r>
        <w:rPr>
          <w:rFonts w:ascii="Segoe UI Symbol" w:eastAsia="Segoe UI Symbol" w:hAnsi="Segoe UI Symbol" w:cs="Segoe UI Symbol"/>
          <w:b/>
        </w:rPr>
        <w:t>☑</w:t>
      </w:r>
      <w:r>
        <w:rPr>
          <w:rFonts w:ascii="Segoe UI Symbol" w:eastAsia="Segoe UI Symbol" w:hAnsi="Segoe UI Symbol" w:cs="Segoe UI Symbol"/>
          <w:b/>
        </w:rPr>
        <w:t xml:space="preserve"> </w:t>
      </w:r>
      <w:r>
        <w:t xml:space="preserve">Settlement Specialist malformed </w:t>
      </w:r>
      <w:r>
        <w:t>output uses a validation failure branch.</w:t>
      </w:r>
    </w:p>
    <w:p w:rsidR="00FE28CC" w:rsidRDefault="00BE491E">
      <w:pPr>
        <w:rPr>
          <w:rFonts w:hint="eastAsia"/>
        </w:rPr>
      </w:pPr>
      <w:r>
        <w:rPr>
          <w:rFonts w:ascii="Segoe UI Symbol" w:eastAsia="Segoe UI Symbol" w:hAnsi="Segoe UI Symbol" w:cs="Segoe UI Symbol"/>
          <w:b/>
        </w:rPr>
        <w:t>☑</w:t>
      </w:r>
      <w:r>
        <w:rPr>
          <w:rFonts w:ascii="Segoe UI Symbol" w:eastAsia="Segoe UI Symbol" w:hAnsi="Segoe UI Symbol" w:cs="Segoe UI Symbol"/>
          <w:b/>
        </w:rPr>
        <w:t xml:space="preserve"> </w:t>
      </w:r>
      <w:r>
        <w:t>Observability spans name specific capture targets.</w:t>
      </w:r>
    </w:p>
    <w:p w:rsidR="00FE28CC" w:rsidRDefault="00BE491E">
      <w:pPr>
        <w:rPr>
          <w:rFonts w:hint="eastAsia"/>
        </w:rPr>
      </w:pPr>
      <w:r>
        <w:rPr>
          <w:rFonts w:ascii="Segoe UI Symbol" w:eastAsia="Segoe UI Symbol" w:hAnsi="Segoe UI Symbol" w:cs="Segoe UI Symbol"/>
          <w:b/>
        </w:rPr>
        <w:t>☑</w:t>
      </w:r>
      <w:r>
        <w:rPr>
          <w:rFonts w:ascii="Segoe UI Symbol" w:eastAsia="Segoe UI Symbol" w:hAnsi="Segoe UI Symbol" w:cs="Segoe UI Symbol"/>
          <w:b/>
        </w:rPr>
        <w:t xml:space="preserve"> </w:t>
      </w:r>
      <w:r>
        <w:t>A2A handoff instrumentation includes correlation ID and payload hash, not full PII payload.</w:t>
      </w:r>
    </w:p>
    <w:p w:rsidR="00FE28CC" w:rsidRDefault="00BE491E">
      <w:pPr>
        <w:rPr>
          <w:rFonts w:hint="eastAsia"/>
        </w:rPr>
      </w:pPr>
      <w:r>
        <w:rPr>
          <w:rFonts w:ascii="Segoe UI Symbol" w:eastAsia="Segoe UI Symbol" w:hAnsi="Segoe UI Symbol" w:cs="Segoe UI Symbol"/>
          <w:b/>
        </w:rPr>
        <w:t>☑</w:t>
      </w:r>
      <w:r>
        <w:rPr>
          <w:rFonts w:ascii="Segoe UI Symbol" w:eastAsia="Segoe UI Symbol" w:hAnsi="Segoe UI Symbol" w:cs="Segoe UI Symbol"/>
          <w:b/>
        </w:rPr>
        <w:t xml:space="preserve"> </w:t>
      </w:r>
      <w:r>
        <w:t>Failure nodes trace back to agents or handoffs defined in Sections</w:t>
      </w:r>
      <w:r>
        <w:t xml:space="preserve"> 2 and 3.</w:t>
      </w:r>
    </w:p>
    <w:p w:rsidR="00FE28CC" w:rsidRDefault="00FE28CC">
      <w:pPr>
        <w:rPr>
          <w:rFonts w:hint="eastAsia"/>
        </w:rPr>
      </w:pPr>
    </w:p>
    <w:sectPr w:rsidR="00FE28CC">
      <w:pgSz w:w="12240" w:h="15840"/>
      <w:pgMar w:top="864" w:right="936" w:bottom="864" w:left="936"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Aptos">
    <w:altName w:val="Times New Roman"/>
    <w:charset w:val="01"/>
    <w:family w:val="roman"/>
    <w:pitch w:val="variable"/>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3B6F67"/>
    <w:multiLevelType w:val="singleLevel"/>
    <w:tmpl w:val="0F9077A8"/>
    <w:lvl w:ilvl="0">
      <w:start w:val="1"/>
      <w:numFmt w:val="bullet"/>
      <w:lvlText w:val="•"/>
      <w:lvlJc w:val="left"/>
      <w:pPr>
        <w:ind w:left="284" w:hanging="200"/>
      </w:pPr>
      <w:rPr>
        <w:rFonts w:ascii="Arial" w:hAnsi="Arial"/>
        <w:color w:val="1F4E79"/>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28CC"/>
    <w:rsid w:val="00BE491E"/>
    <w:rsid w:val="00FE28C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B37D"/>
  <w15:docId w15:val="{7834BEF2-6CBA-4386-98BC-0ABA8BA53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200" w:line="276" w:lineRule="auto"/>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Bullet3">
    <w:name w:val="List Bullet 3"/>
    <w:basedOn w:val="Normal"/>
    <w:uiPriority w:val="99"/>
    <w:unhideWhenUsed/>
    <w:qFormat/>
    <w:rsid w:val="00326F90"/>
    <w:pPr>
      <w:contextualSpacing/>
    </w:pPr>
  </w:style>
  <w:style w:type="paragraph" w:styleId="ListBullet4">
    <w:name w:val="List Bullet 4"/>
    <w:basedOn w:val="Normal"/>
    <w:uiPriority w:val="99"/>
    <w:unhideWhenUsed/>
    <w:rsid w:val="00326F90"/>
    <w:pPr>
      <w:ind w:left="1080" w:hanging="360"/>
      <w:contextualSpacing/>
    </w:pPr>
  </w:style>
  <w:style w:type="paragraph" w:styleId="ListBullet">
    <w:name w:val="List Bullet"/>
    <w:basedOn w:val="Normal"/>
    <w:uiPriority w:val="99"/>
    <w:unhideWhenUsed/>
    <w:qFormat/>
    <w:rsid w:val="00326F90"/>
    <w:pPr>
      <w:contextualSpacing/>
    </w:pPr>
  </w:style>
  <w:style w:type="paragraph" w:styleId="ListBullet2">
    <w:name w:val="List Bullet 2"/>
    <w:basedOn w:val="Normal"/>
    <w:uiPriority w:val="99"/>
    <w:unhideWhenUsed/>
    <w:qFormat/>
    <w:rsid w:val="00326F90"/>
    <w:pPr>
      <w:contextualSpacing/>
    </w:pPr>
  </w:style>
  <w:style w:type="paragraph" w:styleId="ListNumber">
    <w:name w:val="List Number"/>
    <w:basedOn w:val="Normal"/>
    <w:uiPriority w:val="99"/>
    <w:unhideWhenUsed/>
    <w:qFormat/>
    <w:rsid w:val="00326F90"/>
    <w:pPr>
      <w:contextualSpacing/>
    </w:pPr>
  </w:style>
  <w:style w:type="paragraph" w:styleId="ListNumber2">
    <w:name w:val="List Number 2"/>
    <w:basedOn w:val="Normal"/>
    <w:uiPriority w:val="99"/>
    <w:unhideWhenUsed/>
    <w:qFormat/>
    <w:rsid w:val="0029639D"/>
    <w:pPr>
      <w:contextualSpacing/>
    </w:pPr>
  </w:style>
  <w:style w:type="paragraph" w:styleId="ListNumber3">
    <w:name w:val="List Number 3"/>
    <w:basedOn w:val="Normal"/>
    <w:uiPriority w:val="99"/>
    <w:unhideWhenUsed/>
    <w:qFormat/>
    <w:rsid w:val="0029639D"/>
    <w:pPr>
      <w:contextualSpacing/>
    </w:p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TOCHeading">
    <w:name w:val="TOC Heading"/>
    <w:basedOn w:val="Heading1"/>
    <w:next w:val="Normal"/>
    <w:uiPriority w:val="39"/>
    <w:semiHidden/>
    <w:unhideWhenUsed/>
    <w:qFormat/>
    <w:rsid w:val="00FC693F"/>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57EE1E-B028-487C-AD27-02B79CC54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2633</Words>
  <Characters>15014</Characters>
  <Application>Microsoft Office Word</Application>
  <DocSecurity>0</DocSecurity>
  <Lines>125</Lines>
  <Paragraphs>35</Paragraphs>
  <ScaleCrop>false</ScaleCrop>
  <Company/>
  <LinksUpToDate>false</LinksUpToDate>
  <CharactersWithSpaces>17612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Dennis</cp:lastModifiedBy>
  <cp:revision>3</cp:revision>
  <dcterms:created xsi:type="dcterms:W3CDTF">2013-12-23T23:15:00Z</dcterms:created>
  <dcterms:modified xsi:type="dcterms:W3CDTF">2026-10-12T02:17:00Z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