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>
          <w:b/>
          <w:color w:val="1F4E79"/>
          <w:sz w:val="36"/>
        </w:rPr>
        <w:t>Integration Consistency Checklist</w:t>
      </w:r>
    </w:p>
    <w:p>
      <w:pPr>
        <w:pStyle w:val="Normal"/>
        <w:jc w:val="center"/>
        <w:rPr/>
      </w:pPr>
      <w:r>
        <w:rPr>
          <w:i/>
          <w:color w:val="595959"/>
          <w:sz w:val="20"/>
        </w:rPr>
        <w:t>Step 6 — Apex Insurance Group Integrated Architecture Package</w:t>
      </w:r>
    </w:p>
    <w:p>
      <w:pPr>
        <w:pStyle w:val="Normal"/>
        <w:rPr/>
      </w:pPr>
      <w:r>
        <w:rPr/>
      </w:r>
    </w:p>
    <w:tbl>
      <w:tblPr>
        <w:tblStyle w:val="TableGrid"/>
        <w:tblW w:w="1036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84"/>
        <w:gridCol w:w="5183"/>
      </w:tblGrid>
      <w:tr>
        <w:trPr/>
        <w:tc>
          <w:tcPr>
            <w:tcW w:w="5184" w:type="dxa"/>
            <w:tcBorders/>
            <w:shd w:fill="E7E6E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1F1F1F"/>
                <w:sz w:val="18"/>
              </w:rPr>
              <w:t>Project</w:t>
            </w:r>
          </w:p>
        </w:tc>
        <w:tc>
          <w:tcPr>
            <w:tcW w:w="518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Apex Insurance Group Integrated Architecture and Sign-off Package</w:t>
            </w:r>
          </w:p>
        </w:tc>
      </w:tr>
      <w:tr>
        <w:trPr/>
        <w:tc>
          <w:tcPr>
            <w:tcW w:w="5184" w:type="dxa"/>
            <w:tcBorders/>
            <w:shd w:fill="E7E6E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1F1F1F"/>
                <w:sz w:val="18"/>
              </w:rPr>
              <w:t>Template Section</w:t>
            </w:r>
          </w:p>
        </w:tc>
        <w:tc>
          <w:tcPr>
            <w:tcW w:w="5183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Step 6 — Integration Consistency Verification (Sections 1 to 4)</w:t>
            </w:r>
          </w:p>
        </w:tc>
      </w:tr>
      <w:tr>
        <w:trPr/>
        <w:tc>
          <w:tcPr>
            <w:tcW w:w="5184" w:type="dxa"/>
            <w:tcBorders/>
            <w:shd w:fill="E7E6E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1F1F1F"/>
                <w:sz w:val="18"/>
              </w:rPr>
              <w:t>Learner Name</w:t>
            </w:r>
          </w:p>
        </w:tc>
        <w:tc>
          <w:tcPr>
            <w:tcW w:w="5183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Dennis Lam</w:t>
            </w:r>
          </w:p>
        </w:tc>
      </w:tr>
      <w:tr>
        <w:trPr/>
        <w:tc>
          <w:tcPr>
            <w:tcW w:w="5184" w:type="dxa"/>
            <w:tcBorders/>
            <w:shd w:fill="E7E6E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1F1F1F"/>
                <w:sz w:val="18"/>
              </w:rPr>
              <w:t>Deliverable</w:t>
            </w:r>
          </w:p>
        </w:tc>
        <w:tc>
          <w:tcPr>
            <w:tcW w:w="5183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Verification record accompanying Sections 1 to 4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36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FFF2CC" w:val="clear"/>
          </w:tcPr>
          <w:p>
            <w:pPr>
              <w:pStyle w:val="Normal"/>
              <w:spacing w:lineRule="auto" w:line="240" w:before="0" w:after="60"/>
            </w:pPr>
            <w:r>
              <w:rPr>
                <w:b/>
                <w:color w:val="1F1F1F"/>
                <w:sz w:val="18"/>
                <w:szCs w:val="18"/>
              </w:rPr>
              <w:t xml:space="preserve">Result: all three required checks pass.</w:t>
            </w:r>
            <w:r>
              <w:rPr>
                <w:b w:val="false"/>
                <w:color w:val="1F1F1F"/>
                <w:sz w:val="18"/>
                <w:szCs w:val="18"/>
              </w:rPr>
              <w:t xml:space="preserve"> Grounding sources: 12 of 12 in the agent’s own Project. Handoff fields: 19 of 19 defined in the Section 2 output schema. Failure nodes: 3 of 3 traced to Section 2 agents and Section 3 handoffs. Additional cross-section checks: 14 of 14 pass.</w:t>
            </w:r>
          </w:p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One inconsistency was found while running the checks and fixed before this record was produced (item 6). The package is ready for the IT Security Director to review Section 1; nothing is provisioned until that approval is signed.</w:t>
            </w:r>
          </w:p>
        </w:tc>
      </w:tr>
    </w:tbl>
    <w:p>
      <w:pPr>
        <w:pStyle w:val="Normal"/>
        <w:spacing w:lineRule="auto" w:line="276" w:before="0" w:after="200"/>
      </w:pPr>
    </w:p>
    <w:p>
      <w:pPr>
        <w:pStyle w:val="Heading2"/>
      </w:pPr>
      <w:r>
        <w:t xml:space="preserve">1. Verification Method</w:t>
      </w:r>
    </w:p>
    <w:p>
      <w:pPr>
        <w:pStyle w:val="Normal"/>
        <w:spacing w:lineRule="auto" w:line="264" w:before="80" w:after="120"/>
      </w:pPr>
      <w:r>
        <w:rPr>
          <w:b w:val="false"/>
          <w:color w:val="1F1F1F"/>
          <w:sz w:val="19"/>
          <w:szCs w:val="19"/>
        </w:rPr>
        <w:t xml:space="preserve">Every check was run against the four completed Word documents themselves, not against drafts or notes. A script read their tables and the Section 2 JSON Schema directly, and the results were then reviewed by hand. Grounding sources were matched by resource name against the Section 1 hub-and-project table. Handoff fields were matched by name, schema path and base type against the parsed Section 2 schema. Failure nodes were traced by searching each Section 4 architecture point for the agents, tools, escalations and handoff elements named in Sections 2 and 3.</w:t>
      </w:r>
    </w:p>
    <w:tbl>
      <w:tblPr>
        <w:tblStyle w:val="TableGrid"/>
        <w:tblW w:w="1036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00"/>
        <w:gridCol w:w="3900"/>
        <w:gridCol w:w="3468"/>
      </w:tblGrid>
      <w:tr>
        <w:trPr>
          <w:tblHeader/>
        </w:trPr>
        <w:tc>
          <w:tcPr>
            <w:tcW w:w="3000" w:type="dxa"/>
            <w:tcBorders/>
            <w:shd w:val="clear" w:color="auto" w:fill="1F4E79"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Package section</w:t>
            </w:r>
          </w:p>
        </w:tc>
        <w:tc>
          <w:tcPr>
            <w:tcW w:w="3900" w:type="dxa"/>
            <w:tcBorders/>
            <w:shd w:val="clear" w:color="auto" w:fill="1F4E79"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Document checked</w:t>
            </w:r>
          </w:p>
        </w:tc>
        <w:tc>
          <w:tcPr>
            <w:tcW w:w="3468" w:type="dxa"/>
            <w:tcBorders/>
            <w:shd w:val="clear" w:color="auto" w:fill="1F4E79"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Items read by the check</w:t>
            </w:r>
          </w:p>
        </w:tc>
      </w:tr>
      <w:tr>
        <w:trPr/>
        <w:tc>
          <w:tcPr>
            <w:tcW w:w="30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Section 1: Foundry Workspace Blueprint</w:t>
            </w:r>
          </w:p>
        </w:tc>
        <w:tc>
          <w:tcPr>
            <w:tcW w:w="3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Step2_Section1_Foundry_Workspace_Blueprint.docx</w:t>
            </w:r>
          </w:p>
        </w:tc>
        <w:tc>
          <w:tcPr>
            <w:tcW w:w="34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Item 2 hub-and-project table; item 3 RBAC; Table 4a managed identities</w:t>
            </w:r>
          </w:p>
        </w:tc>
      </w:tr>
      <w:tr>
        <w:trPr/>
        <w:tc>
          <w:tcPr>
            <w:tcW w:w="30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Section 2: Agent Operational Specifications</w:t>
            </w:r>
          </w:p>
        </w:tc>
        <w:tc>
          <w:tcPr>
            <w:tcW w:w="3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Step3_Section2_Agent_Operational_Specifications.docx</w:t>
            </w:r>
          </w:p>
        </w:tc>
        <w:tc>
          <w:tcPr>
            <w:tcW w:w="34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Item 1 inventory; item 4 JSON Schema; item 5 escalations; item 8 grounding alignment</w:t>
            </w:r>
          </w:p>
        </w:tc>
      </w:tr>
      <w:tr>
        <w:trPr/>
        <w:tc>
          <w:tcPr>
            <w:tcW w:w="30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Section 3: Multi-Agent Governance and A2A Security</w:t>
            </w:r>
          </w:p>
        </w:tc>
        <w:tc>
          <w:tcPr>
            <w:tcW w:w="3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Step4_Section3_MultiAgent_Governance_A2A_Security.docx</w:t>
            </w:r>
          </w:p>
        </w:tc>
        <w:tc>
          <w:tcPr>
            <w:tcW w:w="34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Items 3.1 to 3.5 (handoff, schema, redaction, escalation branch)</w:t>
            </w:r>
          </w:p>
        </w:tc>
      </w:tr>
      <w:tr>
        <w:trPr/>
        <w:tc>
          <w:tcPr>
            <w:tcW w:w="30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Section 4: Workflow Stabilization Assessment</w:t>
            </w:r>
          </w:p>
        </w:tc>
        <w:tc>
          <w:tcPr>
            <w:tcW w:w="3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Step5_Section4_Workflow_Stabilization_Assessment.docx</w:t>
            </w:r>
          </w:p>
        </w:tc>
        <w:tc>
          <w:tcPr>
            <w:tcW w:w="34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Item 2 failure nodes; item 4 observability spans</w:t>
            </w:r>
          </w:p>
        </w:tc>
      </w:tr>
    </w:tbl>
    <w:p>
      <w:pPr>
        <w:pStyle w:val="Normal"/>
        <w:spacing w:lineRule="auto" w:line="276" w:before="0" w:after="200"/>
      </w:pPr>
    </w:p>
    <w:p>
      <w:pPr>
        <w:pStyle w:val="Heading2"/>
      </w:pPr>
      <w:r>
        <w:t xml:space="preserve">2. Check 1: Grounding Sources Reside in the Agent’s Project</w:t>
      </w:r>
    </w:p>
    <w:tbl>
      <w:tblPr>
        <w:tblStyle w:val="TableGrid"/>
        <w:tblW w:w="1036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00"/>
        <w:gridCol w:w="2550"/>
        <w:gridCol w:w="2350"/>
        <w:gridCol w:w="2268"/>
        <w:gridCol w:w="900"/>
      </w:tblGrid>
      <w:tr>
        <w:trPr>
          <w:tblHeader/>
        </w:trPr>
        <w:tc>
          <w:tcPr>
            <w:tcW w:w="2300" w:type="dxa"/>
            <w:tcBorders/>
            <w:shd w:val="clear" w:color="auto" w:fill="1F4E79"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Agent (Section 2)</w:t>
            </w:r>
          </w:p>
        </w:tc>
        <w:tc>
          <w:tcPr>
            <w:tcW w:w="2550" w:type="dxa"/>
            <w:tcBorders/>
            <w:shd w:val="clear" w:color="auto" w:fill="1F4E79"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Grounding source (Section 2, item 8)</w:t>
            </w:r>
          </w:p>
        </w:tc>
        <w:tc>
          <w:tcPr>
            <w:tcW w:w="2350" w:type="dxa"/>
            <w:tcBorders/>
            <w:shd w:val="clear" w:color="auto" w:fill="1F4E79"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Project holding the source (Section 1, item 2)</w:t>
            </w:r>
          </w:p>
        </w:tc>
        <w:tc>
          <w:tcPr>
            <w:tcW w:w="2268" w:type="dxa"/>
            <w:tcBorders/>
            <w:shd w:val="clear" w:color="auto" w:fill="1F4E79"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Agent Project (Section 2)</w:t>
            </w:r>
          </w:p>
        </w:tc>
        <w:tc>
          <w:tcPr>
            <w:tcW w:w="900" w:type="dxa"/>
            <w:tcBorders/>
            <w:shd w:val="clear" w:color="auto" w:fill="1F4E79"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/>
        <w:tc>
          <w:tcPr>
            <w:tcW w:w="23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Claim Intake / Extraction Agent</w:t>
            </w:r>
          </w:p>
        </w:tc>
        <w:tc>
          <w:tcPr>
            <w:tcW w:w="25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claims-inbox</w:t>
            </w:r>
          </w:p>
        </w:tc>
        <w:tc>
          <w:tcPr>
            <w:tcW w:w="23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proj-apex-claims-processing</w:t>
            </w:r>
          </w:p>
        </w:tc>
        <w:tc>
          <w:tcPr>
            <w:tcW w:w="22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proj-apex-claims-processing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23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Claim Intake / Extraction Agent</w:t>
            </w:r>
          </w:p>
        </w:tc>
        <w:tc>
          <w:tcPr>
            <w:tcW w:w="25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di-apex-claims-prod</w:t>
            </w:r>
          </w:p>
        </w:tc>
        <w:tc>
          <w:tcPr>
            <w:tcW w:w="23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proj-apex-claims-processing</w:t>
            </w:r>
          </w:p>
        </w:tc>
        <w:tc>
          <w:tcPr>
            <w:tcW w:w="22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proj-apex-claims-processing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23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Claim Intake / Extraction Agent</w:t>
            </w:r>
          </w:p>
        </w:tc>
        <w:tc>
          <w:tcPr>
            <w:tcW w:w="25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kb-claims-intake-guide</w:t>
            </w:r>
          </w:p>
        </w:tc>
        <w:tc>
          <w:tcPr>
            <w:tcW w:w="23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proj-apex-claims-processing</w:t>
            </w:r>
          </w:p>
        </w:tc>
        <w:tc>
          <w:tcPr>
            <w:tcW w:w="22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proj-apex-claims-processing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23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Claim Intake / Extraction Agent</w:t>
            </w:r>
          </w:p>
        </w:tc>
        <w:tc>
          <w:tcPr>
            <w:tcW w:w="25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stapexclaimsintake</w:t>
            </w:r>
          </w:p>
        </w:tc>
        <w:tc>
          <w:tcPr>
            <w:tcW w:w="23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proj-apex-claims-processing</w:t>
            </w:r>
          </w:p>
        </w:tc>
        <w:tc>
          <w:tcPr>
            <w:tcW w:w="22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proj-apex-claims-processing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23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Policy Cross-Reference Agent</w:t>
            </w:r>
          </w:p>
        </w:tc>
        <w:tc>
          <w:tcPr>
            <w:tcW w:w="25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kb-claims-policy-wordings</w:t>
            </w:r>
          </w:p>
        </w:tc>
        <w:tc>
          <w:tcPr>
            <w:tcW w:w="23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proj-apex-claims-processing</w:t>
            </w:r>
          </w:p>
        </w:tc>
        <w:tc>
          <w:tcPr>
            <w:tcW w:w="22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proj-apex-claims-processing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23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Policy Cross-Reference Agent</w:t>
            </w:r>
          </w:p>
        </w:tc>
        <w:tc>
          <w:tcPr>
            <w:tcW w:w="25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sqldb-apex-policy</w:t>
            </w:r>
          </w:p>
        </w:tc>
        <w:tc>
          <w:tcPr>
            <w:tcW w:w="23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proj-apex-claims-processing</w:t>
            </w:r>
          </w:p>
        </w:tc>
        <w:tc>
          <w:tcPr>
            <w:tcW w:w="22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proj-apex-claims-processing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23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Policy Cross-Reference Agent</w:t>
            </w:r>
          </w:p>
        </w:tc>
        <w:tc>
          <w:tcPr>
            <w:tcW w:w="25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vw_policy_coverage</w:t>
            </w:r>
          </w:p>
        </w:tc>
        <w:tc>
          <w:tcPr>
            <w:tcW w:w="23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proj-apex-claims-processing</w:t>
            </w:r>
          </w:p>
        </w:tc>
        <w:tc>
          <w:tcPr>
            <w:tcW w:w="22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proj-apex-claims-processing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23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Fraud and Risk Specialist</w:t>
            </w:r>
          </w:p>
        </w:tc>
        <w:tc>
          <w:tcPr>
            <w:tcW w:w="25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apim-apex-integration-prod</w:t>
            </w:r>
          </w:p>
        </w:tc>
        <w:tc>
          <w:tcPr>
            <w:tcW w:w="23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proj-apex-claims-processing</w:t>
            </w:r>
          </w:p>
        </w:tc>
        <w:tc>
          <w:tcPr>
            <w:tcW w:w="22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proj-apex-claims-processing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23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Fraud and Risk Specialist</w:t>
            </w:r>
          </w:p>
        </w:tc>
        <w:tc>
          <w:tcPr>
            <w:tcW w:w="25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kb-claims-fraud-indicators</w:t>
            </w:r>
          </w:p>
        </w:tc>
        <w:tc>
          <w:tcPr>
            <w:tcW w:w="23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proj-apex-claims-processing</w:t>
            </w:r>
          </w:p>
        </w:tc>
        <w:tc>
          <w:tcPr>
            <w:tcW w:w="22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proj-apex-claims-processing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23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Fraud and Risk Specialist</w:t>
            </w:r>
          </w:p>
        </w:tc>
        <w:tc>
          <w:tcPr>
            <w:tcW w:w="25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sqldb-apex-policy</w:t>
            </w:r>
          </w:p>
        </w:tc>
        <w:tc>
          <w:tcPr>
            <w:tcW w:w="23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proj-apex-claims-processing</w:t>
            </w:r>
          </w:p>
        </w:tc>
        <w:tc>
          <w:tcPr>
            <w:tcW w:w="22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proj-apex-claims-processing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23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Fraud and Risk Specialist</w:t>
            </w:r>
          </w:p>
        </w:tc>
        <w:tc>
          <w:tcPr>
            <w:tcW w:w="25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vw_claim_history_36m</w:t>
            </w:r>
          </w:p>
        </w:tc>
        <w:tc>
          <w:tcPr>
            <w:tcW w:w="23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proj-apex-claims-processing</w:t>
            </w:r>
          </w:p>
        </w:tc>
        <w:tc>
          <w:tcPr>
            <w:tcW w:w="22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proj-apex-claims-processing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23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Settlement Specialist</w:t>
            </w:r>
          </w:p>
        </w:tc>
        <w:tc>
          <w:tcPr>
            <w:tcW w:w="25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kb-claims-settlement-templates</w:t>
            </w:r>
          </w:p>
        </w:tc>
        <w:tc>
          <w:tcPr>
            <w:tcW w:w="23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proj-apex-claims-processing</w:t>
            </w:r>
          </w:p>
        </w:tc>
        <w:tc>
          <w:tcPr>
            <w:tcW w:w="22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proj-apex-claims-processing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</w:tbl>
    <w:p>
      <w:pPr>
        <w:pStyle w:val="Normal"/>
        <w:spacing w:lineRule="auto" w:line="264" w:before="80" w:after="120"/>
      </w:pPr>
      <w:r>
        <w:rPr>
          <w:b/>
          <w:color w:val="1F1F1F"/>
          <w:sz w:val="19"/>
          <w:szCs w:val="19"/>
        </w:rPr>
        <w:t xml:space="preserve">Result: 12 of 12.</w:t>
      </w:r>
      <w:r>
        <w:rPr>
          <w:b w:val="false"/>
          <w:color w:val="1F1F1F"/>
          <w:sz w:val="19"/>
          <w:szCs w:val="19"/>
        </w:rPr>
        <w:t xml:space="preserve"> Every grounding source used by a Claims agent, including the four Foundry IQ knowledge bases on </w:t>
      </w:r>
      <w:r>
        <w:rPr>
          <w:rFonts w:ascii="Consolas" w:hAnsi="Consolas" w:cs="Consolas"/>
          <w:b w:val="false"/>
          <w:color w:val="1F1F1F"/>
          <w:sz w:val="17"/>
          <w:szCs w:val="17"/>
        </w:rPr>
        <w:t xml:space="preserve">srch-apex-claims-prod</w:t>
      </w:r>
      <w:r>
        <w:rPr>
          <w:b w:val="false"/>
          <w:color w:val="1F1F1F"/>
          <w:sz w:val="19"/>
          <w:szCs w:val="19"/>
        </w:rPr>
        <w:t xml:space="preserve">, is listed only in the </w:t>
      </w:r>
      <w:r>
        <w:rPr>
          <w:rFonts w:ascii="Consolas" w:hAnsi="Consolas" w:cs="Consolas"/>
          <w:b w:val="false"/>
          <w:color w:val="1F1F1F"/>
          <w:sz w:val="17"/>
          <w:szCs w:val="17"/>
        </w:rPr>
        <w:t xml:space="preserve">proj-apex-claims-processing</w:t>
      </w:r>
      <w:r>
        <w:rPr>
          <w:b w:val="false"/>
          <w:color w:val="1F1F1F"/>
          <w:sz w:val="19"/>
          <w:szCs w:val="19"/>
        </w:rPr>
        <w:t xml:space="preserve"> row of Section 1. None appears in the hub row (which has no data connections by design) or in the Legal or Finance rows. Tools such as </w:t>
      </w:r>
      <w:r>
        <w:rPr>
          <w:rFonts w:ascii="Consolas" w:hAnsi="Consolas" w:cs="Consolas"/>
          <w:b w:val="false"/>
          <w:color w:val="1F1F1F"/>
          <w:sz w:val="17"/>
          <w:szCs w:val="17"/>
        </w:rPr>
        <w:t xml:space="preserve">calculate_settlement</w:t>
      </w:r>
      <w:r>
        <w:rPr>
          <w:b w:val="false"/>
          <w:color w:val="1F1F1F"/>
          <w:sz w:val="19"/>
          <w:szCs w:val="19"/>
        </w:rPr>
        <w:t xml:space="preserve"> and </w:t>
      </w:r>
      <w:r>
        <w:rPr>
          <w:rFonts w:ascii="Consolas" w:hAnsi="Consolas" w:cs="Consolas"/>
          <w:b w:val="false"/>
          <w:color w:val="1F1F1F"/>
          <w:sz w:val="17"/>
          <w:szCs w:val="17"/>
        </w:rPr>
        <w:t xml:space="preserve">score_fraud_signals</w:t>
      </w:r>
      <w:r>
        <w:rPr>
          <w:b w:val="false"/>
          <w:color w:val="1F1F1F"/>
          <w:sz w:val="19"/>
          <w:szCs w:val="19"/>
        </w:rPr>
        <w:t xml:space="preserve"> are Project-hosted functions, not data sources.</w:t>
      </w:r>
    </w:p>
    <w:p>
      <w:pPr>
        <w:pStyle w:val="Normal"/>
        <w:spacing w:lineRule="auto" w:line="276" w:before="0" w:after="200"/>
      </w:pPr>
    </w:p>
    <w:p>
      <w:pPr>
        <w:pStyle w:val="Heading2"/>
      </w:pPr>
      <w:r>
        <w:t xml:space="preserve">3. Check 2: A2A Handoff Schema Uses Only Section 2 Field Names</w:t>
      </w:r>
    </w:p>
    <w:tbl>
      <w:tblPr>
        <w:tblStyle w:val="TableGrid"/>
        <w:tblW w:w="1036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2250"/>
        <w:gridCol w:w="3250"/>
        <w:gridCol w:w="1368"/>
        <w:gridCol w:w="900"/>
      </w:tblGrid>
      <w:tr>
        <w:trPr>
          <w:tblHeader/>
        </w:trPr>
        <w:tc>
          <w:tcPr>
            <w:tcW w:w="2600" w:type="dxa"/>
            <w:tcBorders/>
            <w:shd w:val="clear" w:color="auto" w:fill="1F4E79"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Handoff field (Section 3, item 3.3)</w:t>
            </w:r>
          </w:p>
        </w:tc>
        <w:tc>
          <w:tcPr>
            <w:tcW w:w="2250" w:type="dxa"/>
            <w:tcBorders/>
            <w:shd w:val="clear" w:color="auto" w:fill="1F4E79"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Type in Section 3</w:t>
            </w:r>
          </w:p>
        </w:tc>
        <w:tc>
          <w:tcPr>
            <w:tcW w:w="3250" w:type="dxa"/>
            <w:tcBorders/>
            <w:shd w:val="clear" w:color="auto" w:fill="1F4E79"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Path in Section 2 ClaimCaseOutput v1.0</w:t>
            </w:r>
          </w:p>
        </w:tc>
        <w:tc>
          <w:tcPr>
            <w:tcW w:w="1368" w:type="dxa"/>
            <w:tcBorders/>
            <w:shd w:val="clear" w:color="auto" w:fill="1F4E79"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Type in Section 2</w:t>
            </w:r>
          </w:p>
        </w:tc>
        <w:tc>
          <w:tcPr>
            <w:tcW w:w="900" w:type="dxa"/>
            <w:tcBorders/>
            <w:shd w:val="clear" w:color="auto" w:fill="1F4E79"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/>
        <w:tc>
          <w:tcPr>
            <w:tcW w:w="26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claim_id</w:t>
            </w:r>
          </w:p>
        </w:tc>
        <w:tc>
          <w:tcPr>
            <w:tcW w:w="22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string</w:t>
            </w:r>
          </w:p>
        </w:tc>
        <w:tc>
          <w:tcPr>
            <w:tcW w:w="32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claim_id</w:t>
            </w:r>
          </w:p>
        </w:tc>
        <w:tc>
          <w:tcPr>
            <w:tcW w:w="13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string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26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correlation_id</w:t>
            </w:r>
          </w:p>
        </w:tc>
        <w:tc>
          <w:tcPr>
            <w:tcW w:w="22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string</w:t>
            </w:r>
          </w:p>
        </w:tc>
        <w:tc>
          <w:tcPr>
            <w:tcW w:w="32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correlation_id</w:t>
            </w:r>
          </w:p>
        </w:tc>
        <w:tc>
          <w:tcPr>
            <w:tcW w:w="13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string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26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schema_version</w:t>
            </w:r>
          </w:p>
        </w:tc>
        <w:tc>
          <w:tcPr>
            <w:tcW w:w="22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string</w:t>
            </w:r>
          </w:p>
        </w:tc>
        <w:tc>
          <w:tcPr>
            <w:tcW w:w="32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schema_version</w:t>
            </w:r>
          </w:p>
        </w:tc>
        <w:tc>
          <w:tcPr>
            <w:tcW w:w="13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string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26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fraud_risk_score</w:t>
            </w:r>
          </w:p>
        </w:tc>
        <w:tc>
          <w:tcPr>
            <w:tcW w:w="22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number (float 0.00–1.00)</w:t>
            </w:r>
          </w:p>
        </w:tc>
        <w:tc>
          <w:tcPr>
            <w:tcW w:w="32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fraud_assessment.fraud_risk_score</w:t>
            </w:r>
          </w:p>
        </w:tc>
        <w:tc>
          <w:tcPr>
            <w:tcW w:w="13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number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26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risk_classification</w:t>
            </w:r>
          </w:p>
        </w:tc>
        <w:tc>
          <w:tcPr>
            <w:tcW w:w="22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string (enum LOW | ELEVATED)</w:t>
            </w:r>
          </w:p>
        </w:tc>
        <w:tc>
          <w:tcPr>
            <w:tcW w:w="32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fraud_assessment.risk_classification</w:t>
            </w:r>
          </w:p>
        </w:tc>
        <w:tc>
          <w:tcPr>
            <w:tcW w:w="13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string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26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fraud_signals</w:t>
            </w:r>
          </w:p>
        </w:tc>
        <w:tc>
          <w:tcPr>
            <w:tcW w:w="22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array&lt;string&gt; (FS-NNN codes)</w:t>
            </w:r>
          </w:p>
        </w:tc>
        <w:tc>
          <w:tcPr>
            <w:tcW w:w="32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fraud_assessment.fraud_signals</w:t>
            </w:r>
          </w:p>
        </w:tc>
        <w:tc>
          <w:tcPr>
            <w:tcW w:w="13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array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26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public_records_check_status</w:t>
            </w:r>
          </w:p>
        </w:tc>
        <w:tc>
          <w:tcPr>
            <w:tcW w:w="22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string (enum COMPLETED | CACHED)</w:t>
            </w:r>
          </w:p>
        </w:tc>
        <w:tc>
          <w:tcPr>
            <w:tcW w:w="32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fraud_assessment.public_records_check_status</w:t>
            </w:r>
          </w:p>
        </w:tc>
        <w:tc>
          <w:tcPr>
            <w:tcW w:w="13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string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26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redacted_claim_summary</w:t>
            </w:r>
          </w:p>
        </w:tc>
        <w:tc>
          <w:tcPr>
            <w:tcW w:w="22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string (≤1,500 chars)</w:t>
            </w:r>
          </w:p>
        </w:tc>
        <w:tc>
          <w:tcPr>
            <w:tcW w:w="32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redacted_claim_summary</w:t>
            </w:r>
          </w:p>
        </w:tc>
        <w:tc>
          <w:tcPr>
            <w:tcW w:w="13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string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26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coverage_status</w:t>
            </w:r>
          </w:p>
        </w:tc>
        <w:tc>
          <w:tcPr>
            <w:tcW w:w="22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string (enum COVERED | PARTIAL)</w:t>
            </w:r>
          </w:p>
        </w:tc>
        <w:tc>
          <w:tcPr>
            <w:tcW w:w="32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policy_cross_reference.coverage_status</w:t>
            </w:r>
          </w:p>
        </w:tc>
        <w:tc>
          <w:tcPr>
            <w:tcW w:w="13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string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26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coverage_limit_usd</w:t>
            </w:r>
          </w:p>
        </w:tc>
        <w:tc>
          <w:tcPr>
            <w:tcW w:w="22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number</w:t>
            </w:r>
          </w:p>
        </w:tc>
        <w:tc>
          <w:tcPr>
            <w:tcW w:w="32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policy_cross_reference.coverage_limit_usd</w:t>
            </w:r>
          </w:p>
        </w:tc>
        <w:tc>
          <w:tcPr>
            <w:tcW w:w="13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number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26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deductible_usd</w:t>
            </w:r>
          </w:p>
        </w:tc>
        <w:tc>
          <w:tcPr>
            <w:tcW w:w="22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number</w:t>
            </w:r>
          </w:p>
        </w:tc>
        <w:tc>
          <w:tcPr>
            <w:tcW w:w="32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policy_cross_reference.deductible_usd</w:t>
            </w:r>
          </w:p>
        </w:tc>
        <w:tc>
          <w:tcPr>
            <w:tcW w:w="13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number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26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applicable_exclusions</w:t>
            </w:r>
          </w:p>
        </w:tc>
        <w:tc>
          <w:tcPr>
            <w:tcW w:w="22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array&lt;string&gt;</w:t>
            </w:r>
          </w:p>
        </w:tc>
        <w:tc>
          <w:tcPr>
            <w:tcW w:w="32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policy_cross_reference.applicable_exclusions</w:t>
            </w:r>
          </w:p>
        </w:tc>
        <w:tc>
          <w:tcPr>
            <w:tcW w:w="13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array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26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claimed_amount_usd</w:t>
            </w:r>
          </w:p>
        </w:tc>
        <w:tc>
          <w:tcPr>
            <w:tcW w:w="22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number</w:t>
            </w:r>
          </w:p>
        </w:tc>
        <w:tc>
          <w:tcPr>
            <w:tcW w:w="32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extracted_claim.claimed_amount_usd</w:t>
            </w:r>
          </w:p>
        </w:tc>
        <w:tc>
          <w:tcPr>
            <w:tcW w:w="13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number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26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loss_type</w:t>
            </w:r>
          </w:p>
        </w:tc>
        <w:tc>
          <w:tcPr>
            <w:tcW w:w="22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string (enum)</w:t>
            </w:r>
          </w:p>
        </w:tc>
        <w:tc>
          <w:tcPr>
            <w:tcW w:w="32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extracted_claim.loss_type</w:t>
            </w:r>
          </w:p>
        </w:tc>
        <w:tc>
          <w:tcPr>
            <w:tcW w:w="13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string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26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date_of_loss</w:t>
            </w:r>
          </w:p>
        </w:tc>
        <w:tc>
          <w:tcPr>
            <w:tcW w:w="22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string (date)</w:t>
            </w:r>
          </w:p>
        </w:tc>
        <w:tc>
          <w:tcPr>
            <w:tcW w:w="32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extracted_claim.date_of_loss</w:t>
            </w:r>
          </w:p>
        </w:tc>
        <w:tc>
          <w:tcPr>
            <w:tcW w:w="13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string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26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property_location_state</w:t>
            </w:r>
          </w:p>
        </w:tc>
        <w:tc>
          <w:tcPr>
            <w:tcW w:w="22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string (2-letter)</w:t>
            </w:r>
          </w:p>
        </w:tc>
        <w:tc>
          <w:tcPr>
            <w:tcW w:w="32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extracted_claim.property_location_state</w:t>
            </w:r>
          </w:p>
        </w:tc>
        <w:tc>
          <w:tcPr>
            <w:tcW w:w="13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string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26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policyholder_token</w:t>
            </w:r>
          </w:p>
        </w:tc>
        <w:tc>
          <w:tcPr>
            <w:tcW w:w="22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string (PH-TKN-…)</w:t>
            </w:r>
          </w:p>
        </w:tc>
        <w:tc>
          <w:tcPr>
            <w:tcW w:w="32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pii_tokens.policyholder_token</w:t>
            </w:r>
          </w:p>
        </w:tc>
        <w:tc>
          <w:tcPr>
            <w:tcW w:w="13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string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26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policy_number_token</w:t>
            </w:r>
          </w:p>
        </w:tc>
        <w:tc>
          <w:tcPr>
            <w:tcW w:w="22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string (POL-TKN-…)</w:t>
            </w:r>
          </w:p>
        </w:tc>
        <w:tc>
          <w:tcPr>
            <w:tcW w:w="32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pii_tokens.policy_number_token</w:t>
            </w:r>
          </w:p>
        </w:tc>
        <w:tc>
          <w:tcPr>
            <w:tcW w:w="13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string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26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settlement_hold_required</w:t>
            </w:r>
          </w:p>
        </w:tc>
        <w:tc>
          <w:tcPr>
            <w:tcW w:w="22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boolean</w:t>
            </w:r>
          </w:p>
        </w:tc>
        <w:tc>
          <w:tcPr>
            <w:tcW w:w="325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routing.settlement_hold_required</w:t>
            </w:r>
          </w:p>
        </w:tc>
        <w:tc>
          <w:tcPr>
            <w:tcW w:w="13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boolean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</w:tbl>
    <w:p>
      <w:pPr>
        <w:pStyle w:val="Normal"/>
        <w:spacing w:lineRule="auto" w:line="264" w:before="80" w:after="120"/>
      </w:pPr>
      <w:r>
        <w:rPr>
          <w:b/>
          <w:color w:val="1F1F1F"/>
          <w:sz w:val="19"/>
          <w:szCs w:val="19"/>
        </w:rPr>
        <w:t xml:space="preserve">Result: 19 of 19.</w:t>
      </w:r>
      <w:r>
        <w:rPr>
          <w:b w:val="false"/>
          <w:color w:val="1F1F1F"/>
          <w:sz w:val="19"/>
          <w:szCs w:val="19"/>
        </w:rPr>
        <w:t xml:space="preserve"> Every handoff field exists in </w:t>
      </w:r>
      <w:r>
        <w:rPr>
          <w:rFonts w:ascii="Consolas" w:hAnsi="Consolas" w:cs="Consolas"/>
          <w:b w:val="false"/>
          <w:color w:val="1F1F1F"/>
          <w:sz w:val="17"/>
          <w:szCs w:val="17"/>
        </w:rPr>
        <w:t xml:space="preserve">ClaimCaseOutput</w:t>
      </w:r>
      <w:r>
        <w:rPr>
          <w:b w:val="false"/>
          <w:color w:val="1F1F1F"/>
          <w:sz w:val="19"/>
          <w:szCs w:val="19"/>
        </w:rPr>
        <w:t xml:space="preserve"> v1.0 (40 properties) at the path shown, with a matching base type. Where Section 3 narrows an enum (for example </w:t>
      </w:r>
      <w:r>
        <w:rPr>
          <w:rFonts w:ascii="Consolas" w:hAnsi="Consolas" w:cs="Consolas"/>
          <w:b w:val="false"/>
          <w:color w:val="1F1F1F"/>
          <w:sz w:val="17"/>
          <w:szCs w:val="17"/>
        </w:rPr>
        <w:t xml:space="preserve">risk_classification</w:t>
      </w:r>
      <w:r>
        <w:rPr>
          <w:b w:val="false"/>
          <w:color w:val="1F1F1F"/>
          <w:sz w:val="19"/>
          <w:szCs w:val="19"/>
        </w:rPr>
        <w:t xml:space="preserve">: LOW | ELEVATED), the values are a valid subset of the Section 2 enum, and the narrowing is what enforces the escalation branch. No field was invented for the handoff; A2A envelope fields (</w:t>
      </w:r>
      <w:r>
        <w:rPr>
          <w:rFonts w:ascii="Consolas" w:hAnsi="Consolas" w:cs="Consolas"/>
          <w:b w:val="false"/>
          <w:color w:val="1F1F1F"/>
          <w:sz w:val="17"/>
          <w:szCs w:val="17"/>
        </w:rPr>
        <w:t xml:space="preserve">messageId</w:t>
      </w:r>
      <w:r>
        <w:rPr>
          <w:b w:val="false"/>
          <w:color w:val="1F1F1F"/>
          <w:sz w:val="19"/>
          <w:szCs w:val="19"/>
        </w:rPr>
        <w:t xml:space="preserve">, </w:t>
      </w:r>
      <w:r>
        <w:rPr>
          <w:rFonts w:ascii="Consolas" w:hAnsi="Consolas" w:cs="Consolas"/>
          <w:b w:val="false"/>
          <w:color w:val="1F1F1F"/>
          <w:sz w:val="17"/>
          <w:szCs w:val="17"/>
        </w:rPr>
        <w:t xml:space="preserve">contextId</w:t>
      </w:r>
      <w:r>
        <w:rPr>
          <w:b w:val="false"/>
          <w:color w:val="1F1F1F"/>
          <w:sz w:val="19"/>
          <w:szCs w:val="19"/>
        </w:rPr>
        <w:t xml:space="preserve">, </w:t>
      </w:r>
      <w:r>
        <w:rPr>
          <w:rFonts w:ascii="Consolas" w:hAnsi="Consolas" w:cs="Consolas"/>
          <w:b w:val="false"/>
          <w:color w:val="1F1F1F"/>
          <w:sz w:val="17"/>
          <w:szCs w:val="17"/>
        </w:rPr>
        <w:t xml:space="preserve">traceparent</w:t>
      </w:r>
      <w:r>
        <w:rPr>
          <w:b w:val="false"/>
          <w:color w:val="1F1F1F"/>
          <w:sz w:val="19"/>
          <w:szCs w:val="19"/>
        </w:rPr>
        <w:t xml:space="preserve">) are protocol fields and are kept out of the business payload.</w:t>
      </w:r>
    </w:p>
    <w:p>
      <w:pPr>
        <w:pStyle w:val="Normal"/>
        <w:spacing w:lineRule="auto" w:line="276" w:before="0" w:after="200"/>
      </w:pPr>
    </w:p>
    <w:p>
      <w:pPr>
        <w:pStyle w:val="Heading2"/>
      </w:pPr>
      <w:r>
        <w:t xml:space="preserve">4. Check 3: Failure Nodes Trace to Section 2 Agents and Section 3 Handoffs</w:t>
      </w:r>
    </w:p>
    <w:tbl>
      <w:tblPr>
        <w:tblStyle w:val="TableGrid"/>
        <w:tblW w:w="1036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00"/>
        <w:gridCol w:w="2900"/>
        <w:gridCol w:w="2800"/>
        <w:gridCol w:w="2668"/>
        <w:gridCol w:w="900"/>
      </w:tblGrid>
      <w:tr>
        <w:trPr>
          <w:tblHeader/>
        </w:trPr>
        <w:tc>
          <w:tcPr>
            <w:tcW w:w="1100" w:type="dxa"/>
            <w:tcBorders/>
            <w:shd w:val="clear" w:color="auto" w:fill="1F4E79"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Failure node</w:t>
            </w:r>
          </w:p>
        </w:tc>
        <w:tc>
          <w:tcPr>
            <w:tcW w:w="2900" w:type="dxa"/>
            <w:tcBorders/>
            <w:shd w:val="clear" w:color="auto" w:fill="1F4E79"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Section 4 architecture point</w:t>
            </w:r>
          </w:p>
        </w:tc>
        <w:tc>
          <w:tcPr>
            <w:tcW w:w="2800" w:type="dxa"/>
            <w:tcBorders/>
            <w:shd w:val="clear" w:color="auto" w:fill="1F4E79"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Trace to Section 2</w:t>
            </w:r>
          </w:p>
        </w:tc>
        <w:tc>
          <w:tcPr>
            <w:tcW w:w="2668" w:type="dxa"/>
            <w:tcBorders/>
            <w:shd w:val="clear" w:color="auto" w:fill="1F4E79"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Trace to Section 3</w:t>
            </w:r>
          </w:p>
        </w:tc>
        <w:tc>
          <w:tcPr>
            <w:tcW w:w="900" w:type="dxa"/>
            <w:tcBorders/>
            <w:shd w:val="clear" w:color="auto" w:fill="1F4E79"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/>
        <w:tc>
          <w:tcPr>
            <w:tcW w:w="11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FN-001</w:t>
            </w:r>
          </w:p>
        </w:tc>
        <w:tc>
          <w:tcPr>
            <w:tcW w:w="2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External API dependency in the fraud and public-records check</w:t>
            </w:r>
          </w:p>
        </w:tc>
        <w:tc>
          <w:tcPr>
            <w:tcW w:w="28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Fraud and Risk Specialist; tool public_records_lookup (Part B, pillar 4); ESC-005</w:t>
            </w:r>
          </w:p>
        </w:tc>
        <w:tc>
          <w:tcPr>
            <w:tcW w:w="26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Routing gate INDETERMINATE branch to sbq-external-verification-hold (items 1 and 3.5)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11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FN-002</w:t>
            </w:r>
          </w:p>
        </w:tc>
        <w:tc>
          <w:tcPr>
            <w:tcW w:w="2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Settlement Specialist output validation</w:t>
            </w:r>
          </w:p>
        </w:tc>
        <w:tc>
          <w:tcPr>
            <w:tcW w:w="28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Settlement Specialist; settlement block (letter_validation_status); ESC-007</w:t>
            </w:r>
          </w:p>
        </w:tc>
        <w:tc>
          <w:tcPr>
            <w:tcW w:w="26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Validation gate after Settlement (Figure 1); decomposition row 4 (ESC-007)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11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FN-003</w:t>
            </w:r>
          </w:p>
        </w:tc>
        <w:tc>
          <w:tcPr>
            <w:tcW w:w="2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Agent interaction observability at the A2A handoff Fraud and Risk Specialist → Settlement Specialist, brokered by the Claims Workflow Controller (Section 3, items 3.2 and 3.4), plus the invoke_agent spans of all four agents.</w:t>
            </w:r>
          </w:p>
        </w:tc>
        <w:tc>
          <w:tcPr>
            <w:tcW w:w="28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Fraud and Risk Specialist and Settlement Specialist; correlation_id typed input</w:t>
            </w:r>
          </w:p>
        </w:tc>
        <w:tc>
          <w:tcPr>
            <w:tcW w:w="26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A2A handoff Fraud and Risk Specialist → Settlement Specialist; items 3.2 (correlation, audit trace) and 3.4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</w:tbl>
    <w:p>
      <w:pPr>
        <w:pStyle w:val="Normal"/>
        <w:spacing w:lineRule="auto" w:line="264" w:before="80" w:after="120"/>
      </w:pPr>
      <w:r>
        <w:rPr>
          <w:b/>
          <w:color w:val="1F1F1F"/>
          <w:sz w:val="19"/>
          <w:szCs w:val="19"/>
        </w:rPr>
        <w:t xml:space="preserve">Result: 3 of 3.</w:t>
      </w:r>
      <w:r>
        <w:rPr>
          <w:b w:val="false"/>
          <w:color w:val="1F1F1F"/>
          <w:sz w:val="19"/>
          <w:szCs w:val="19"/>
        </w:rPr>
        <w:t xml:space="preserve"> Each failure node names the Section 2 agent it sits on. The error-handling pattern for each node is the one the checklist requires: circuit breaker for the external API, validation failure branch for Settlement output, observability instrumentation for the handoff. Its fallback lands on a queue or escalation that Sections 2 and 3 already define.</w:t>
      </w:r>
    </w:p>
    <w:p>
      <w:pPr>
        <w:pStyle w:val="Normal"/>
        <w:spacing w:lineRule="auto" w:line="276" w:before="0" w:after="200"/>
      </w:pPr>
    </w:p>
    <w:p>
      <w:pPr>
        <w:pStyle w:val="Heading2"/>
      </w:pPr>
      <w:r>
        <w:t xml:space="preserve">5. Additional Cross-Section Checks</w:t>
      </w:r>
    </w:p>
    <w:tbl>
      <w:tblPr>
        <w:tblStyle w:val="TableGrid"/>
        <w:tblW w:w="1036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600"/>
        <w:gridCol w:w="5868"/>
        <w:gridCol w:w="900"/>
      </w:tblGrid>
      <w:tr>
        <w:trPr>
          <w:tblHeader/>
        </w:trPr>
        <w:tc>
          <w:tcPr>
            <w:tcW w:w="3600" w:type="dxa"/>
            <w:tcBorders/>
            <w:shd w:val="clear" w:color="auto" w:fill="1F4E79"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w="5868" w:type="dxa"/>
            <w:tcBorders/>
            <w:shd w:val="clear" w:color="auto" w:fill="1F4E79"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Evidence from the documents</w:t>
            </w:r>
          </w:p>
        </w:tc>
        <w:tc>
          <w:tcPr>
            <w:tcW w:w="900" w:type="dxa"/>
            <w:tcBorders/>
            <w:shd w:val="clear" w:color="auto" w:fill="1F4E79"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/>
        <w:tc>
          <w:tcPr>
            <w:tcW w:w="36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Fraud thresholds identical in Sections 2, 3 and 4</w:t>
            </w:r>
          </w:p>
        </w:tc>
        <w:tc>
          <w:tcPr>
            <w:tcW w:w="58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Every comparison against fraud_risk_score in the package uses only: 0.60, 0.85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36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Handoff payload size stated consistently (19 fields)</w:t>
            </w:r>
          </w:p>
        </w:tc>
        <w:tc>
          <w:tcPr>
            <w:tcW w:w="58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Section 3 item 3.3 lists 19 fields; "19-field" stated in Section 3, Section 4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36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Each budget line has its own model deployment inside its own Project (FinOps meter)</w:t>
            </w:r>
          </w:p>
        </w:tc>
        <w:tc>
          <w:tcPr>
            <w:tcW w:w="58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aoai-apex-claims-prod, aoai-apex-legal-prod and aoai-apex-finance-prod each appear in their own Project row only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36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Large-loss threshold ($250,000) consistent</w:t>
            </w:r>
          </w:p>
        </w:tc>
        <w:tc>
          <w:tcPr>
            <w:tcW w:w="58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Found in Section 2, Section 3, Section 4; no other claim-value threshold used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36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Correlation ID format identical</w:t>
            </w:r>
          </w:p>
        </w:tc>
        <w:tc>
          <w:tcPr>
            <w:tcW w:w="58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{claim_id}.{workflow_run_id} found in Section 2, Section 3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36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Managed identities used in Sections 2 to 4 are defined in Section 1 (Table 4a)</w:t>
            </w:r>
          </w:p>
        </w:tc>
        <w:tc>
          <w:tcPr>
            <w:tcW w:w="58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Used: uami-claims-fraud-risk, uami-claims-workflow-controller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36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Span names cited in Sections 1 to 3 exist in the Section 4 observability specification</w:t>
            </w:r>
          </w:p>
        </w:tc>
        <w:tc>
          <w:tcPr>
            <w:tcW w:w="58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Cited: a2a.handoff, fraud.routing_decision, invoke_agent, pii.redaction, settlement_output.validation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36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Escalation queues in Sections 3 and 4 are defined in Section 2</w:t>
            </w:r>
          </w:p>
        </w:tc>
        <w:tc>
          <w:tcPr>
            <w:tcW w:w="58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Used: sbq-adjuster-review, sbq-external-verification-hold, sbq-large-loss-approval, sbq-siu-fraud-review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36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Escalation IDs in Sections 3 and 4 are defined in Section 2 (item 5)</w:t>
            </w:r>
          </w:p>
        </w:tc>
        <w:tc>
          <w:tcPr>
            <w:tcW w:w="58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Used: ESC-001, ESC-002, ESC-003, ESC-004, ESC-005, ESC-006, ESC-007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36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Legal Project shares no data source with the Claims Project</w:t>
            </w:r>
          </w:p>
        </w:tc>
        <w:tc>
          <w:tcPr>
            <w:tcW w:w="58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Legal sources: aoai-apex-legal-prod, kb-legal-regulatory-library, srch-apex-legal-prod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36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Finance Project shares no data source with Claims or Legal</w:t>
            </w:r>
          </w:p>
        </w:tc>
        <w:tc>
          <w:tcPr>
            <w:tcW w:w="58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Finance sources: aoai-apex-finance-prod, fda-claims-kpi, ws-apex-claims-analytics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36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No Legal resource is used as grounding in Section 2</w:t>
            </w:r>
          </w:p>
        </w:tc>
        <w:tc>
          <w:tcPr>
            <w:tcW w:w="58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Legal identifiers in Section 2: srch-apex-legal-prod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36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Legal RBAC scope excludes the Claims Project</w:t>
            </w:r>
          </w:p>
        </w:tc>
        <w:tc>
          <w:tcPr>
            <w:tcW w:w="58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Legal scope: proj-apex-compliance-legal only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  <w:tr>
        <w:trPr/>
        <w:tc>
          <w:tcPr>
            <w:tcW w:w="36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All four task agents sit in the Section 1 Claims Project</w:t>
            </w:r>
          </w:p>
        </w:tc>
        <w:tc>
          <w:tcPr>
            <w:tcW w:w="58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Project Boundary column: proj-apex-claims-processing</w:t>
            </w:r>
          </w:p>
        </w:tc>
        <w:tc>
          <w:tcPr>
            <w:tcW w:w="9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PASS</w:t>
            </w:r>
          </w:p>
        </w:tc>
      </w:tr>
    </w:tbl>
    <w:p>
      <w:pPr>
        <w:pStyle w:val="Normal"/>
        <w:spacing w:lineRule="auto" w:line="276" w:before="0" w:after="200"/>
      </w:pPr>
    </w:p>
    <w:p>
      <w:pPr>
        <w:pStyle w:val="Heading2"/>
      </w:pPr>
      <w:r>
        <w:t xml:space="preserve">6. Issues Found and Resolved</w:t>
      </w:r>
    </w:p>
    <w:tbl>
      <w:tblPr>
        <w:tblStyle w:val="TableGrid"/>
        <w:tblW w:w="1036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0"/>
        <w:gridCol w:w="3700"/>
        <w:gridCol w:w="1000"/>
        <w:gridCol w:w="3818"/>
        <w:gridCol w:w="1400"/>
      </w:tblGrid>
      <w:tr>
        <w:trPr>
          <w:tblHeader/>
        </w:trPr>
        <w:tc>
          <w:tcPr>
            <w:tcW w:w="450" w:type="dxa"/>
            <w:tcBorders/>
            <w:shd w:val="clear" w:color="auto" w:fill="1F4E79"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3700" w:type="dxa"/>
            <w:tcBorders/>
            <w:shd w:val="clear" w:color="auto" w:fill="1F4E79"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w="1000" w:type="dxa"/>
            <w:tcBorders/>
            <w:shd w:val="clear" w:color="auto" w:fill="1F4E79"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Sections</w:t>
            </w:r>
          </w:p>
        </w:tc>
        <w:tc>
          <w:tcPr>
            <w:tcW w:w="3818" w:type="dxa"/>
            <w:tcBorders/>
            <w:shd w:val="clear" w:color="auto" w:fill="1F4E79"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Resolution</w:t>
            </w:r>
          </w:p>
        </w:tc>
        <w:tc>
          <w:tcPr>
            <w:tcW w:w="1400" w:type="dxa"/>
            <w:tcBorders/>
            <w:shd w:val="clear" w:color="auto" w:fill="1F4E79"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/>
        <w:tc>
          <w:tcPr>
            <w:tcW w:w="45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1</w:t>
            </w:r>
          </w:p>
        </w:tc>
        <w:tc>
          <w:tcPr>
            <w:tcW w:w="37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Section 2 typed inputs (</w:t>
            </w:r>
            <w:r>
              <w:rPr>
                <w:b w:val="false"/>
                <w:color w:val="1F1F1F"/>
                <w:sz w:val="18"/>
                <w:szCs w:val="18"/>
              </w:rPr>
              <w:t xml:space="preserve">claim_id</w:t>
            </w:r>
            <w:r>
              <w:rPr>
                <w:b w:val="false"/>
                <w:color w:val="1F1F1F"/>
                <w:sz w:val="18"/>
                <w:szCs w:val="18"/>
              </w:rPr>
              <w:t xml:space="preserve">, </w:t>
            </w:r>
            <w:r>
              <w:rPr>
                <w:b w:val="false"/>
                <w:color w:val="1F1F1F"/>
                <w:sz w:val="18"/>
                <w:szCs w:val="18"/>
              </w:rPr>
              <w:t xml:space="preserve">policyholder_id</w:t>
            </w:r>
            <w:r>
              <w:rPr>
                <w:b w:val="false"/>
                <w:color w:val="1F1F1F"/>
                <w:sz w:val="18"/>
                <w:szCs w:val="18"/>
              </w:rPr>
              <w:t xml:space="preserve">, </w:t>
            </w:r>
            <w:r>
              <w:rPr>
                <w:b w:val="false"/>
                <w:color w:val="1F1F1F"/>
                <w:sz w:val="18"/>
                <w:szCs w:val="18"/>
              </w:rPr>
              <w:t xml:space="preserve">submission_channel</w:t>
            </w:r>
            <w:r>
              <w:rPr>
                <w:b w:val="false"/>
                <w:color w:val="1F1F1F"/>
                <w:sz w:val="18"/>
                <w:szCs w:val="18"/>
              </w:rPr>
              <w:t xml:space="preserve">) are read from blob metadata by the Claims Workflow Controller, but Section 1 Table 4a gave </w:t>
            </w:r>
            <w:r>
              <w:rPr>
                <w:b w:val="false"/>
                <w:color w:val="1F1F1F"/>
                <w:sz w:val="18"/>
                <w:szCs w:val="18"/>
              </w:rPr>
              <w:t xml:space="preserve">uami-claims-workflow-controller</w:t>
            </w:r>
            <w:r>
              <w:rPr>
                <w:b w:val="false"/>
                <w:color w:val="1F1F1F"/>
                <w:sz w:val="18"/>
                <w:szCs w:val="18"/>
              </w:rPr>
              <w:t xml:space="preserve"> no access to </w:t>
            </w:r>
            <w:r>
              <w:rPr>
                <w:b w:val="false"/>
                <w:color w:val="1F1F1F"/>
                <w:sz w:val="18"/>
                <w:szCs w:val="18"/>
              </w:rPr>
              <w:t xml:space="preserve">claims-inbox</w:t>
            </w:r>
            <w:r>
              <w:rPr>
                <w:b w:val="false"/>
                <w:color w:val="1F1F1F"/>
                <w:sz w:val="18"/>
                <w:szCs w:val="18"/>
              </w:rPr>
              <w:t xml:space="preserve">. Without a fix the trigger step would fail authorization.</w:t>
            </w:r>
          </w:p>
        </w:tc>
        <w:tc>
          <w:tcPr>
            <w:tcW w:w="10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1, 2</w:t>
            </w:r>
          </w:p>
        </w:tc>
        <w:tc>
          <w:tcPr>
            <w:tcW w:w="381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Added </w:t>
            </w:r>
            <w:r>
              <w:rPr>
                <w:b/>
                <w:color w:val="1F1F1F"/>
                <w:sz w:val="18"/>
                <w:szCs w:val="18"/>
              </w:rPr>
              <w:t xml:space="preserve">Storage Blob Data Reader on claims-inbox</w:t>
            </w:r>
            <w:r>
              <w:rPr>
                <w:b w:val="false"/>
                <w:color w:val="1F1F1F"/>
                <w:sz w:val="18"/>
                <w:szCs w:val="18"/>
              </w:rPr>
              <w:t xml:space="preserve"> to the controller identity in Section 1, Table 4a.</w:t>
            </w:r>
          </w:p>
        </w:tc>
        <w:tc>
          <w:tcPr>
            <w:tcW w:w="14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1F1F1F"/>
                <w:sz w:val="18"/>
                <w:szCs w:val="18"/>
              </w:rPr>
              <w:t xml:space="preserve">Fixed</w:t>
            </w:r>
          </w:p>
        </w:tc>
      </w:tr>
      <w:tr>
        <w:trPr/>
        <w:tc>
          <w:tcPr>
            <w:tcW w:w="45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2</w:t>
            </w:r>
          </w:p>
        </w:tc>
        <w:tc>
          <w:tcPr>
            <w:tcW w:w="37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ESC-004 (no coverage) could have routed to coverage counsel in Legal, which would give Legal access to claims data and breach Section 1.</w:t>
            </w:r>
          </w:p>
        </w:tc>
        <w:tc>
          <w:tcPr>
            <w:tcW w:w="10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1, 2</w:t>
            </w:r>
          </w:p>
        </w:tc>
        <w:tc>
          <w:tcPr>
            <w:tcW w:w="381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ESC-004 routes to the </w:t>
            </w:r>
            <w:r>
              <w:rPr>
                <w:b/>
                <w:color w:val="1F1F1F"/>
                <w:sz w:val="18"/>
                <w:szCs w:val="18"/>
              </w:rPr>
              <w:t xml:space="preserve">Claims Coverage Review team in Operations</w:t>
            </w:r>
            <w:r>
              <w:rPr>
                <w:b w:val="false"/>
                <w:color w:val="1F1F1F"/>
                <w:sz w:val="18"/>
                <w:szCs w:val="18"/>
              </w:rPr>
              <w:t xml:space="preserve"> (</w:t>
            </w:r>
            <w:r>
              <w:rPr>
                <w:b w:val="false"/>
                <w:color w:val="1F1F1F"/>
                <w:sz w:val="18"/>
                <w:szCs w:val="18"/>
              </w:rPr>
              <w:t xml:space="preserve">sbq-coverage-review</w:t>
            </w:r>
            <w:r>
              <w:rPr>
                <w:b w:val="false"/>
                <w:color w:val="1F1F1F"/>
                <w:sz w:val="18"/>
                <w:szCs w:val="18"/>
              </w:rPr>
              <w:t xml:space="preserve">). Section 2 states that Legal is never a destination.</w:t>
            </w:r>
          </w:p>
        </w:tc>
        <w:tc>
          <w:tcPr>
            <w:tcW w:w="14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Resolved by design</w:t>
            </w:r>
          </w:p>
        </w:tc>
      </w:tr>
      <w:tr>
        <w:trPr/>
        <w:tc>
          <w:tcPr>
            <w:tcW w:w="45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3</w:t>
            </w:r>
          </w:p>
        </w:tc>
        <w:tc>
          <w:tcPr>
            <w:tcW w:w="37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Audit consumers for Claims telemetry could have included Legal, for the same reason.</w:t>
            </w:r>
          </w:p>
        </w:tc>
        <w:tc>
          <w:tcPr>
            <w:tcW w:w="10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1, 4</w:t>
            </w:r>
          </w:p>
        </w:tc>
        <w:tc>
          <w:tcPr>
            <w:tcW w:w="381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Section 4 gives read access to </w:t>
            </w:r>
            <w:r>
              <w:rPr>
                <w:b/>
                <w:color w:val="1F1F1F"/>
                <w:sz w:val="18"/>
                <w:szCs w:val="18"/>
              </w:rPr>
              <w:t xml:space="preserve">Claims Compliance and Internal Audit</w:t>
            </w:r>
            <w:r>
              <w:rPr>
                <w:b w:val="false"/>
                <w:color w:val="1F1F1F"/>
                <w:sz w:val="18"/>
                <w:szCs w:val="18"/>
              </w:rPr>
              <w:t xml:space="preserve"> only. Legal receives curated audit reports.</w:t>
            </w:r>
          </w:p>
        </w:tc>
        <w:tc>
          <w:tcPr>
            <w:tcW w:w="14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Resolved by design</w:t>
            </w:r>
          </w:p>
        </w:tc>
      </w:tr>
      <w:tr>
        <w:trPr/>
        <w:tc>
          <w:tcPr>
            <w:tcW w:w="45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4</w:t>
            </w:r>
          </w:p>
        </w:tc>
        <w:tc>
          <w:tcPr>
            <w:tcW w:w="37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The Settlement Specialist needs the insured’s name and address to write a letter, but the Section 3 redaction rules remove them from the handoff.</w:t>
            </w:r>
          </w:p>
        </w:tc>
        <w:tc>
          <w:tcPr>
            <w:tcW w:w="10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1, 3, 4</w:t>
            </w:r>
          </w:p>
        </w:tc>
        <w:tc>
          <w:tcPr>
            <w:tcW w:w="381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Merge tokens plus a non-LLM </w:t>
            </w:r>
            <w:r>
              <w:rPr>
                <w:b/>
                <w:color w:val="1F1F1F"/>
                <w:sz w:val="18"/>
                <w:szCs w:val="18"/>
              </w:rPr>
              <w:t xml:space="preserve">Letter Rendering Service</w:t>
            </w:r>
            <w:r>
              <w:rPr>
                <w:b w:val="false"/>
                <w:color w:val="1F1F1F"/>
                <w:sz w:val="18"/>
                <w:szCs w:val="18"/>
              </w:rPr>
              <w:t xml:space="preserve"> with its own identity (</w:t>
            </w:r>
            <w:r>
              <w:rPr>
                <w:b w:val="false"/>
                <w:color w:val="1F1F1F"/>
                <w:sz w:val="18"/>
                <w:szCs w:val="18"/>
              </w:rPr>
              <w:t xml:space="preserve">uami-claims-letter-render</w:t>
            </w:r>
            <w:r>
              <w:rPr>
                <w:b w:val="false"/>
                <w:color w:val="1F1F1F"/>
                <w:sz w:val="18"/>
                <w:szCs w:val="18"/>
              </w:rPr>
              <w:t xml:space="preserve">, Table 4a) re-insert PII after validation (Section 4, rule V3).</w:t>
            </w:r>
          </w:p>
        </w:tc>
        <w:tc>
          <w:tcPr>
            <w:tcW w:w="14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Resolved by design</w:t>
            </w:r>
          </w:p>
        </w:tc>
      </w:tr>
      <w:tr>
        <w:trPr/>
        <w:tc>
          <w:tcPr>
            <w:tcW w:w="45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5</w:t>
            </w:r>
          </w:p>
        </w:tc>
        <w:tc>
          <w:tcPr>
            <w:tcW w:w="37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The Section 4 cached fallback for the public-records API could weaken scrutiny of large losses.</w:t>
            </w:r>
          </w:p>
        </w:tc>
        <w:tc>
          <w:tcPr>
            <w:tcW w:w="10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2, 3, 4</w:t>
            </w:r>
          </w:p>
        </w:tc>
        <w:tc>
          <w:tcPr>
            <w:tcW w:w="381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CACHED results are </w:t>
            </w:r>
            <w:r>
              <w:rPr>
                <w:b/>
                <w:color w:val="1F1F1F"/>
                <w:sz w:val="18"/>
                <w:szCs w:val="18"/>
              </w:rPr>
              <w:t xml:space="preserve">not accepted when claimed_amount_usd &gt; $250,000</w:t>
            </w:r>
            <w:r>
              <w:rPr>
                <w:b w:val="false"/>
                <w:color w:val="1F1F1F"/>
                <w:sz w:val="18"/>
                <w:szCs w:val="18"/>
              </w:rPr>
              <w:t xml:space="preserve">. This is stated in Section 2 (ESC-001), Section 3 (standard path) and Section 4 (FN-001).</w:t>
            </w:r>
          </w:p>
        </w:tc>
        <w:tc>
          <w:tcPr>
            <w:tcW w:w="14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Resolved by design</w:t>
            </w:r>
          </w:p>
        </w:tc>
      </w:tr>
    </w:tbl>
    <w:p>
      <w:pPr>
        <w:pStyle w:val="Normal"/>
        <w:spacing w:lineRule="auto" w:line="276" w:before="0" w:after="200"/>
      </w:pPr>
    </w:p>
    <w:p>
      <w:pPr>
        <w:pStyle w:val="Heading2"/>
      </w:pPr>
      <w:r>
        <w:t xml:space="preserve">7. Sign-off Readiness</w:t>
      </w:r>
    </w:p>
    <w:tbl>
      <w:tblPr>
        <w:tblStyle w:val="TableGrid"/>
        <w:tblW w:w="1036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00"/>
        <w:gridCol w:w="2400"/>
        <w:gridCol w:w="4768"/>
      </w:tblGrid>
      <w:tr>
        <w:trPr>
          <w:tblHeader/>
        </w:trPr>
        <w:tc>
          <w:tcPr>
            <w:tcW w:w="3200" w:type="dxa"/>
            <w:tcBorders/>
            <w:shd w:val="clear" w:color="auto" w:fill="1F4E79"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Package section</w:t>
            </w:r>
          </w:p>
        </w:tc>
        <w:tc>
          <w:tcPr>
            <w:tcW w:w="2400" w:type="dxa"/>
            <w:tcBorders/>
            <w:shd w:val="clear" w:color="auto" w:fill="1F4E79"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w="4768" w:type="dxa"/>
            <w:tcBorders/>
            <w:shd w:val="clear" w:color="auto" w:fill="1F4E79"/>
          </w:tcPr>
          <w:p>
            <w:pPr>
              <w:pStyle w:val="Normal"/>
              <w:spacing w:lineRule="auto" w:line="240"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Next action</w:t>
            </w:r>
          </w:p>
        </w:tc>
      </w:tr>
      <w:tr>
        <w:trPr/>
        <w:tc>
          <w:tcPr>
            <w:tcW w:w="32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Section 1: Foundry Workspace Blueprint</w:t>
            </w:r>
          </w:p>
        </w:tc>
        <w:tc>
          <w:tcPr>
            <w:tcW w:w="24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Complete; consistency checks pass</w:t>
            </w:r>
          </w:p>
        </w:tc>
        <w:tc>
          <w:tcPr>
            <w:tcW w:w="47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IT Security Director reviews and signs the approval block in Section 1, item 6. </w:t>
            </w:r>
            <w:r>
              <w:rPr>
                <w:b/>
                <w:color w:val="1F1F1F"/>
                <w:sz w:val="18"/>
                <w:szCs w:val="18"/>
              </w:rPr>
              <w:t xml:space="preserve">Provisioning stays blocked until then.</w:t>
            </w:r>
          </w:p>
        </w:tc>
      </w:tr>
      <w:tr>
        <w:trPr/>
        <w:tc>
          <w:tcPr>
            <w:tcW w:w="32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Section 2: Agent Operational Specifications</w:t>
            </w:r>
          </w:p>
        </w:tc>
        <w:tc>
          <w:tcPr>
            <w:tcW w:w="24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Complete; consistency checks pass</w:t>
            </w:r>
          </w:p>
        </w:tc>
        <w:tc>
          <w:tcPr>
            <w:tcW w:w="47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SIU confirms fraud-score calibration before go-live (Section 4, risk R4).</w:t>
            </w:r>
          </w:p>
        </w:tc>
      </w:tr>
      <w:tr>
        <w:trPr/>
        <w:tc>
          <w:tcPr>
            <w:tcW w:w="32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Section 3: Multi-Agent Governance and A2A Security</w:t>
            </w:r>
          </w:p>
        </w:tc>
        <w:tc>
          <w:tcPr>
            <w:tcW w:w="24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Complete; consistency checks pass</w:t>
            </w:r>
          </w:p>
        </w:tc>
        <w:tc>
          <w:tcPr>
            <w:tcW w:w="47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Identity team registers app roles </w:t>
            </w:r>
            <w:r>
              <w:rPr>
                <w:b w:val="false"/>
                <w:color w:val="1F1F1F"/>
                <w:sz w:val="18"/>
                <w:szCs w:val="18"/>
              </w:rPr>
              <w:t xml:space="preserve">Handoff.Submit</w:t>
            </w:r>
            <w:r>
              <w:rPr>
                <w:b w:val="false"/>
                <w:color w:val="1F1F1F"/>
                <w:sz w:val="18"/>
                <w:szCs w:val="18"/>
              </w:rPr>
              <w:t xml:space="preserve"> and </w:t>
            </w:r>
            <w:r>
              <w:rPr>
                <w:b w:val="false"/>
                <w:color w:val="1F1F1F"/>
                <w:sz w:val="18"/>
                <w:szCs w:val="18"/>
              </w:rPr>
              <w:t xml:space="preserve">Settlement.Calculate</w:t>
            </w:r>
            <w:r>
              <w:rPr>
                <w:b w:val="false"/>
                <w:color w:val="1F1F1F"/>
                <w:sz w:val="18"/>
                <w:szCs w:val="18"/>
              </w:rPr>
              <w:t xml:space="preserve"> at provisioning.</w:t>
            </w:r>
          </w:p>
        </w:tc>
      </w:tr>
      <w:tr>
        <w:trPr/>
        <w:tc>
          <w:tcPr>
            <w:tcW w:w="3200" w:type="dxa"/>
            <w:tcBorders/>
            <w:shd w:val="clear" w:color="auto" w:fill="F8F9FB"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Section 4: Workflow Stabilization Assessment</w:t>
            </w:r>
          </w:p>
        </w:tc>
        <w:tc>
          <w:tcPr>
            <w:tcW w:w="2400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Complete; consistency checks pass</w:t>
            </w:r>
          </w:p>
        </w:tc>
        <w:tc>
          <w:tcPr>
            <w:tcW w:w="4768" w:type="dxa"/>
            <w:tcBorders/>
          </w:tcPr>
          <w:p>
            <w:pPr>
              <w:pStyle w:val="Normal"/>
              <w:spacing w:lineRule="auto" w:line="240" w:before="0" w:after="0"/>
            </w:pPr>
            <w:r>
              <w:rPr>
                <w:b w:val="false"/>
                <w:color w:val="1F1F1F"/>
                <w:sz w:val="18"/>
                <w:szCs w:val="18"/>
              </w:rPr>
              <w:t xml:space="preserve">Tune circuit-breaker thresholds against a vendor latency baseline during the pilot (risk R3).</w:t>
            </w:r>
          </w:p>
        </w:tc>
      </w:tr>
    </w:tbl>
    <w:p>
      <w:pPr>
        <w:pStyle w:val="Normal"/>
        <w:spacing w:lineRule="auto" w:line="264" w:before="120" w:after="120"/>
      </w:pPr>
      <w:r>
        <w:rPr>
          <w:b/>
          <w:color w:val="1F1F1F"/>
          <w:sz w:val="19"/>
          <w:szCs w:val="19"/>
        </w:rPr>
        <w:t xml:space="preserve">Re-run rule:</w:t>
      </w:r>
      <w:r>
        <w:rPr>
          <w:b w:val="false"/>
          <w:color w:val="1F1F1F"/>
          <w:sz w:val="19"/>
          <w:szCs w:val="19"/>
        </w:rPr>
        <w:t xml:space="preserve"> any change to a threshold, field name, Project boundary, identity or span name in one section triggers a re-run of all checks in this record before resubmission, because those values are shared across all four sections.</w:t>
      </w:r>
    </w:p>
    <w:p>
      <w:pPr>
        <w:pStyle w:val="Heading2"/>
      </w:pPr>
      <w:r>
        <w:t xml:space="preserve">Submission Checklist</w:t>
      </w:r>
    </w:p>
    <w:p>
      <w:r>
        <w:rPr>
          <w:rFonts w:ascii="Segoe UI Symbol" w:hAnsi="Segoe UI Symbol" w:cs="Segoe UI Symbol" w:eastAsia="Segoe UI Symbol"/>
          <w:b/>
        </w:rPr>
        <w:t xml:space="preserve">☑ </w:t>
      </w:r>
      <w:r>
        <w:t>Every grounding data source in Section 2 resides in the same Project as the agent that references it (Section 1).</w:t>
      </w:r>
    </w:p>
    <w:p>
      <w:r>
        <w:rPr>
          <w:rFonts w:ascii="Segoe UI Symbol" w:hAnsi="Segoe UI Symbol" w:cs="Segoe UI Symbol" w:eastAsia="Segoe UI Symbol"/>
          <w:b/>
        </w:rPr>
        <w:t xml:space="preserve">☑ </w:t>
      </w:r>
      <w:r>
        <w:t>The A2A handoff schema in Section 3 uses only field names defined in the task agent output schema in Section 2.</w:t>
      </w:r>
    </w:p>
    <w:p>
      <w:r>
        <w:rPr>
          <w:rFonts w:ascii="Segoe UI Symbol" w:hAnsi="Segoe UI Symbol" w:cs="Segoe UI Symbol" w:eastAsia="Segoe UI Symbol"/>
          <w:b/>
        </w:rPr>
        <w:t xml:space="preserve">☑ </w:t>
      </w:r>
      <w:r>
        <w:t>The failure nodes in Section 4 trace to specific agents and handoffs described in Sections 2 and 3.</w:t>
      </w:r>
    </w:p>
    <w:sectPr>
      <w:type w:val="nextPage"/>
      <w:pgSz w:w="12240" w:h="15840"/>
      <w:pgMar w:left="936" w:right="936" w:header="0" w:top="864" w:footer="0" w:bottom="86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284" w:hanging="200"/>
      </w:pPr>
      <w:rPr>
        <w:rFonts w:ascii="Arial" w:hAnsi="Arial"/>
        <w:color w:val="1F4E79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0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LibreOffice/6.4.7.2$Linux_X86_64 LibreOffice_project/40$Build-2</Application>
  <Pages>3</Pages>
  <Words>492</Words>
  <Characters>3287</Characters>
  <CharactersWithSpaces>3675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>Gaurab Patra</cp:lastModifiedBy>
  <dcterms:modified xsi:type="dcterms:W3CDTF">2026-08-04T08:28:36Z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