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1F4E79"/>
          <w:sz w:val="36"/>
        </w:rPr>
        <w:t>Agent Operational Specification Template</w:t>
      </w:r>
    </w:p>
    <w:p>
      <w:pPr>
        <w:pStyle w:val="Normal"/>
        <w:jc w:val="center"/>
        <w:rPr/>
      </w:pPr>
      <w:r>
        <w:rPr>
          <w:i/>
          <w:color w:val="595959"/>
          <w:sz w:val="20"/>
        </w:rPr>
        <w:t>Section 2 — Apex Insurance Group Integrated Architecture Package</w:t>
      </w:r>
    </w:p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Project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Apex Insurance Group Integrated Architecture and Sign-off Package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Template Section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Section 2 — Agent Operational Specifications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Learner Name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name]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Deliverable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AI-Graded File Upload (PDF)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FF2CC"/>
          </w:tcPr>
          <w:p>
            <w:pPr>
              <w:pStyle w:val="Normal"/>
              <w:spacing w:lineRule="auto" w:line="240" w:before="0" w:after="0"/>
              <w:rPr>
                <w:b w:val="false"/>
                <w:b w:val="false"/>
                <w:color w:val="1F1F1F"/>
                <w:sz w:val="18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Part A — Claims Processing Task Agent Chain</w:t>
      </w:r>
    </w:p>
    <w:p>
      <w:pPr>
        <w:pStyle w:val="Heading2"/>
        <w:rPr/>
      </w:pPr>
      <w:r>
        <w:rPr/>
        <w:t>1. Task Agent Inventory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Agent Name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Single Responsibility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Project Boundary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Grounding Source(s)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Downstream Consumer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 Intake / Extraction Agent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[Extract structured data from incoming commercial property damage claim PDFs]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data source]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downstream agent/system]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Policy Cross-Reference Agent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[Cross-reference claim against internal policy database]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data source]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downstream agent/system]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and Risk Specialist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[Assess fraud/risk using public records API]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data source/API]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downstream agent/system]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Settlement Specialist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[Draft settlement letter or settlement recommendation]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data source]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downstream agent/system]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Four-Step Task Agent Design Protocol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Protocol Step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Required Entry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Learner Response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Trigger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Reference an actual claim document ingestion event.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trigger: e.g., receipt/ingestion of a new commercial property damage claim PDF]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Typed Inputs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List named fields and data types.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typed input schema]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JSON Output Schema</w:t>
            </w:r>
          </w:p>
        </w:tc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Define downstream-compatible structured output.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JSON schema or schema table]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Escalation Conditions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Provide at least two specific thresholds.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two or more threshold-based escalation conditions]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Typed Input Schema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claim_document_ref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Yes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 ingestion event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Reference to incoming property damage claim PDF.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policyholder_id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Yes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source]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description]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claim_submission_timestamp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datetime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Yes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source]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description]</w:t>
            </w:r>
          </w:p>
        </w:tc>
      </w:tr>
      <w:tr>
        <w:trPr/>
        <w:tc>
          <w:tcPr>
            <w:tcW w:w="207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field]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type]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source]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description]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4. JSON Output Schema</w:t>
            </w:r>
          </w:p>
        </w:tc>
      </w:tr>
      <w:tr>
        <w:trPr>
          <w:trHeight w:val="324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Paste or describe the JSON output schema. Include fields sufficient for downstream settlement processing, such as extracted claim data, policy cross-reference result, fraud risk score, risk classification, and draft settlement letter reference.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Escalation Conditions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Condition ID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Triggering Metric or Event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Escalation Destination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Workflow Effect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ESC-001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 value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amount, e.g., &gt; $250,000]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destination]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action]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ESC-002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confidence score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percentage, e.g., &gt;= 85%]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destination]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action]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ESC-003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condition]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destination]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action]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Part B — Fraud Risk Assessment Agent Specification</w:t>
      </w:r>
    </w:p>
    <w:p>
      <w:pPr>
        <w:pStyle w:val="Heading2"/>
        <w:rPr/>
      </w:pPr>
      <w:r>
        <w:rPr/>
        <w:t>6. Autonomous or Task-Agent Design Choice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Design Decision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Learner Response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Selected agent type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Autonomous Agent or Task Agent]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Justification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why this design fits fraud risk assessment in this scenario]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 Five-Pillar Fraud Risk Agent Specification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Pillar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Learner Response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Goal State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clear goal state for fraud risk classification]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Definition of Done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structured completion criteria]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Authority Boundaries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[Specify read-only vs write access; no write access to policy database or settlement system unless justified]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Tool Access Scope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[Specify external public records API and any internal read-only sources]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Asynchronous Escalation Checkpoint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[Specify condition and destination for human review before workflow proceeds]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Grounding and Project Alignment Check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Grounding Source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Project Containing Source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Agent Project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Aligned?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 Intake / Extraction Agent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source]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Policy Cross-Reference Agent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source]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Fraud and Risk Specialist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source/API]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Settlement Specialist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source]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Submission Checklist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Task agent trigger references a claim document ingestion event.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Typed inputs include named fields and data types.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JSON output schema can feed a downstream settlement system.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At least two escalation conditions include specific thresholds.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Fraud risk agent has goal state, definition of done, authority boundaries, tool access scope, and escalation checkpoint.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Grounding sources align with the Project boundaries defined in Section 1.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936" w:right="936" w:header="0" w:top="864" w:footer="0" w:bottom="86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570</Words>
  <Characters>3786</Characters>
  <CharactersWithSpaces>4204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>Gaurab Patra</cp:lastModifiedBy>
  <dcterms:modified xsi:type="dcterms:W3CDTF">2026-08-04T08:29:44Z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