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>
          <w:b/>
          <w:color w:val="1F4E79"/>
          <w:sz w:val="36"/>
        </w:rPr>
        <w:t>Foundry Workspace Architecture Template</w:t>
      </w:r>
    </w:p>
    <w:p>
      <w:pPr>
        <w:pStyle w:val="Normal"/>
        <w:jc w:val="center"/>
        <w:rPr/>
      </w:pPr>
      <w:r>
        <w:rPr>
          <w:i/>
          <w:color w:val="595959"/>
          <w:sz w:val="20"/>
        </w:rPr>
        <w:t>Section 1 — Apex Insurance Group Integrated Architecture Package</w:t>
      </w:r>
    </w:p>
    <w:p>
      <w:pPr>
        <w:pStyle w:val="Normal"/>
        <w:rPr/>
      </w:pPr>
      <w:r>
        <w:rPr/>
      </w:r>
    </w:p>
    <w:tbl>
      <w:tblPr>
        <w:tblStyle w:val="TableGrid"/>
        <w:tblW w:w="10368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84"/>
        <w:gridCol w:w="5183"/>
      </w:tblGrid>
      <w:tr>
        <w:trPr/>
        <w:tc>
          <w:tcPr>
            <w:tcW w:w="5184" w:type="dxa"/>
            <w:tcBorders/>
            <w:shd w:fill="E7E6E6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1F1F1F"/>
                <w:sz w:val="18"/>
              </w:rPr>
              <w:t>Project</w:t>
            </w:r>
          </w:p>
        </w:tc>
        <w:tc>
          <w:tcPr>
            <w:tcW w:w="518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Apex Insurance Group Integrated Architecture and Sign-off Package</w:t>
            </w:r>
          </w:p>
        </w:tc>
      </w:tr>
      <w:tr>
        <w:trPr/>
        <w:tc>
          <w:tcPr>
            <w:tcW w:w="5184" w:type="dxa"/>
            <w:tcBorders/>
            <w:shd w:fill="E7E6E6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1F1F1F"/>
                <w:sz w:val="18"/>
              </w:rPr>
              <w:t>Template Section</w:t>
            </w:r>
          </w:p>
        </w:tc>
        <w:tc>
          <w:tcPr>
            <w:tcW w:w="518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Section 1 — Foundry Workspace Blueprint</w:t>
            </w:r>
          </w:p>
        </w:tc>
      </w:tr>
      <w:tr>
        <w:trPr/>
        <w:tc>
          <w:tcPr>
            <w:tcW w:w="5184" w:type="dxa"/>
            <w:tcBorders/>
            <w:shd w:fill="E7E6E6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1F1F1F"/>
                <w:sz w:val="18"/>
              </w:rPr>
              <w:t>Learner Name</w:t>
            </w:r>
          </w:p>
        </w:tc>
        <w:tc>
          <w:tcPr>
            <w:tcW w:w="518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name]</w:t>
            </w:r>
          </w:p>
        </w:tc>
      </w:tr>
      <w:tr>
        <w:trPr/>
        <w:tc>
          <w:tcPr>
            <w:tcW w:w="5184" w:type="dxa"/>
            <w:tcBorders/>
            <w:shd w:fill="E7E6E6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1F1F1F"/>
                <w:sz w:val="18"/>
              </w:rPr>
              <w:t>Deliverable</w:t>
            </w:r>
          </w:p>
        </w:tc>
        <w:tc>
          <w:tcPr>
            <w:tcW w:w="518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AI-Graded File Upload (PDF)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1036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/>
            <w:shd w:fill="FFF2CC"/>
          </w:tcPr>
          <w:p>
            <w:pPr>
              <w:pStyle w:val="Normal"/>
              <w:spacing w:lineRule="auto" w:line="240" w:before="0" w:after="0"/>
              <w:rPr>
                <w:b w:val="false"/>
                <w:b w:val="false"/>
                <w:color w:val="1F1F1F"/>
                <w:sz w:val="18"/>
              </w:rPr>
            </w:pPr>
            <w:r>
              <w:rPr/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1. Business Unit Requirement Mapping</w:t>
      </w:r>
    </w:p>
    <w:tbl>
      <w:tblPr>
        <w:tblStyle w:val="TableGrid"/>
        <w:tblW w:w="10369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073"/>
        <w:gridCol w:w="2074"/>
        <w:gridCol w:w="2074"/>
        <w:gridCol w:w="2074"/>
        <w:gridCol w:w="2074"/>
      </w:tblGrid>
      <w:tr>
        <w:trPr/>
        <w:tc>
          <w:tcPr>
            <w:tcW w:w="2073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Business Unit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Data Classification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Access Level Required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Funding / Budget Line</w:t>
            </w:r>
          </w:p>
        </w:tc>
        <w:tc>
          <w:tcPr>
            <w:tcW w:w="2074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Architecture Implication</w:t>
            </w:r>
          </w:p>
        </w:tc>
      </w:tr>
      <w:tr>
        <w:trPr/>
        <w:tc>
          <w:tcPr>
            <w:tcW w:w="207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Claims Processing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Sensitive policyholder and claims data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Build-and-deploy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budget line / cost center]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project and isolation implication]</w:t>
            </w:r>
          </w:p>
        </w:tc>
      </w:tr>
      <w:tr>
        <w:trPr/>
        <w:tc>
          <w:tcPr>
            <w:tcW w:w="207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Compliance Monitoring / Legal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Regulated compliance documents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Read-only query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budget line / cost center]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project and isolation implication]</w:t>
            </w:r>
          </w:p>
        </w:tc>
      </w:tr>
      <w:tr>
        <w:trPr/>
        <w:tc>
          <w:tcPr>
            <w:tcW w:w="2073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Executive Reporting / Finance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Aggregated metrics only</w:t>
            </w:r>
          </w:p>
        </w:tc>
        <w:tc>
          <w:tcPr>
            <w:tcW w:w="2074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Consumer-level query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budget line / cost center]</w:t>
            </w:r>
          </w:p>
        </w:tc>
        <w:tc>
          <w:tcPr>
            <w:tcW w:w="2074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project and isolation implication]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2. Hub-and-Project Hierarchy</w:t>
      </w:r>
    </w:p>
    <w:tbl>
      <w:tblPr>
        <w:tblStyle w:val="TableGrid"/>
        <w:tblW w:w="10368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28"/>
        <w:gridCol w:w="1727"/>
        <w:gridCol w:w="1729"/>
        <w:gridCol w:w="1728"/>
        <w:gridCol w:w="1727"/>
        <w:gridCol w:w="1728"/>
      </w:tblGrid>
      <w:tr>
        <w:trPr/>
        <w:tc>
          <w:tcPr>
            <w:tcW w:w="1728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Foundry Scope</w:t>
            </w:r>
          </w:p>
        </w:tc>
        <w:tc>
          <w:tcPr>
            <w:tcW w:w="1727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1729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Business Unit / Workload</w:t>
            </w:r>
          </w:p>
        </w:tc>
        <w:tc>
          <w:tcPr>
            <w:tcW w:w="1728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Data Boundary Rationale</w:t>
            </w:r>
          </w:p>
        </w:tc>
        <w:tc>
          <w:tcPr>
            <w:tcW w:w="1727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Allowed Data Sources</w:t>
            </w:r>
          </w:p>
        </w:tc>
        <w:tc>
          <w:tcPr>
            <w:tcW w:w="1728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Explicitly Excluded Data Sources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Hub</w:t>
            </w:r>
          </w:p>
        </w:tc>
        <w:tc>
          <w:tcPr>
            <w:tcW w:w="1727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Foundry Hub name]</w:t>
            </w:r>
          </w:p>
        </w:tc>
        <w:tc>
          <w:tcPr>
            <w:tcW w:w="172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Enterprise shared governance boundary</w:t>
            </w:r>
          </w:p>
        </w:tc>
        <w:tc>
          <w:tcPr>
            <w:tcW w:w="1728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region, governance, and shared policy rationale]</w:t>
            </w:r>
          </w:p>
        </w:tc>
        <w:tc>
          <w:tcPr>
            <w:tcW w:w="1727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shared services if any]</w:t>
            </w:r>
          </w:p>
        </w:tc>
        <w:tc>
          <w:tcPr>
            <w:tcW w:w="1728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exclusions]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Project</w:t>
            </w:r>
          </w:p>
        </w:tc>
        <w:tc>
          <w:tcPr>
            <w:tcW w:w="1727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Claims Processing Project name]</w:t>
            </w:r>
          </w:p>
        </w:tc>
        <w:tc>
          <w:tcPr>
            <w:tcW w:w="172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Claims Processing</w:t>
            </w:r>
          </w:p>
        </w:tc>
        <w:tc>
          <w:tcPr>
            <w:tcW w:w="1728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[Explain sensitive policyholder/claims isolation]</w:t>
            </w:r>
          </w:p>
        </w:tc>
        <w:tc>
          <w:tcPr>
            <w:tcW w:w="1727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claims data sources]</w:t>
            </w:r>
          </w:p>
        </w:tc>
        <w:tc>
          <w:tcPr>
            <w:tcW w:w="1728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Legal and Finance exclusions]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Project</w:t>
            </w:r>
          </w:p>
        </w:tc>
        <w:tc>
          <w:tcPr>
            <w:tcW w:w="1727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Legal Project name]</w:t>
            </w:r>
          </w:p>
        </w:tc>
        <w:tc>
          <w:tcPr>
            <w:tcW w:w="172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Compliance Monitoring / Legal</w:t>
            </w:r>
          </w:p>
        </w:tc>
        <w:tc>
          <w:tcPr>
            <w:tcW w:w="1728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[Explain regulated compliance document isolation]</w:t>
            </w:r>
          </w:p>
        </w:tc>
        <w:tc>
          <w:tcPr>
            <w:tcW w:w="1727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legal/compliance sources]</w:t>
            </w:r>
          </w:p>
        </w:tc>
        <w:tc>
          <w:tcPr>
            <w:tcW w:w="1728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Claims data exclusion]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Project</w:t>
            </w:r>
          </w:p>
        </w:tc>
        <w:tc>
          <w:tcPr>
            <w:tcW w:w="1727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Finance Project name]</w:t>
            </w:r>
          </w:p>
        </w:tc>
        <w:tc>
          <w:tcPr>
            <w:tcW w:w="172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Executive Reporting / Finance</w:t>
            </w:r>
          </w:p>
        </w:tc>
        <w:tc>
          <w:tcPr>
            <w:tcW w:w="1728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[Explain aggregated metrics-only boundary]</w:t>
            </w:r>
          </w:p>
        </w:tc>
        <w:tc>
          <w:tcPr>
            <w:tcW w:w="1727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dashboard/metrics sources]</w:t>
            </w:r>
          </w:p>
        </w:tc>
        <w:tc>
          <w:tcPr>
            <w:tcW w:w="1728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Claims raw data and Legal source exclusions]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3. RBAC Configuration</w:t>
      </w:r>
    </w:p>
    <w:tbl>
      <w:tblPr>
        <w:tblStyle w:val="TableGrid"/>
        <w:tblW w:w="10368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28"/>
        <w:gridCol w:w="1727"/>
        <w:gridCol w:w="1729"/>
        <w:gridCol w:w="1728"/>
        <w:gridCol w:w="1727"/>
        <w:gridCol w:w="1728"/>
      </w:tblGrid>
      <w:tr>
        <w:trPr/>
        <w:tc>
          <w:tcPr>
            <w:tcW w:w="1728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Team / Role Group</w:t>
            </w:r>
          </w:p>
        </w:tc>
        <w:tc>
          <w:tcPr>
            <w:tcW w:w="1727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Foundry Scope</w:t>
            </w:r>
          </w:p>
        </w:tc>
        <w:tc>
          <w:tcPr>
            <w:tcW w:w="1729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Required Access Level</w:t>
            </w:r>
          </w:p>
        </w:tc>
        <w:tc>
          <w:tcPr>
            <w:tcW w:w="1728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Proposed RBAC Role or Equivalent</w:t>
            </w:r>
          </w:p>
        </w:tc>
        <w:tc>
          <w:tcPr>
            <w:tcW w:w="1727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Allowed Actions</w:t>
            </w:r>
          </w:p>
        </w:tc>
        <w:tc>
          <w:tcPr>
            <w:tcW w:w="1728" w:type="dxa"/>
            <w:tcBorders/>
            <w:shd w:fill="1F4E79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FFFFFF"/>
                <w:sz w:val="18"/>
              </w:rPr>
              <w:t>Denied Actions / Exclusions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Operations Team</w:t>
            </w:r>
          </w:p>
        </w:tc>
        <w:tc>
          <w:tcPr>
            <w:tcW w:w="1727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Claims Processing Project</w:t>
            </w:r>
          </w:p>
        </w:tc>
        <w:tc>
          <w:tcPr>
            <w:tcW w:w="172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Build-and-deploy</w:t>
            </w:r>
          </w:p>
        </w:tc>
        <w:tc>
          <w:tcPr>
            <w:tcW w:w="1728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Azure AI Developer or equivalent]</w:t>
            </w:r>
          </w:p>
        </w:tc>
        <w:tc>
          <w:tcPr>
            <w:tcW w:w="1727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[Create, test, deploy claims agents]</w:t>
            </w:r>
          </w:p>
        </w:tc>
        <w:tc>
          <w:tcPr>
            <w:tcW w:w="1728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[No access to Legal project unless separately approved]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Legal Team</w:t>
            </w:r>
          </w:p>
        </w:tc>
        <w:tc>
          <w:tcPr>
            <w:tcW w:w="1727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Legal Project only</w:t>
            </w:r>
          </w:p>
        </w:tc>
        <w:tc>
          <w:tcPr>
            <w:tcW w:w="172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Read-only query</w:t>
            </w:r>
          </w:p>
        </w:tc>
        <w:tc>
          <w:tcPr>
            <w:tcW w:w="1728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Reader/query-only equivalent]</w:t>
            </w:r>
          </w:p>
        </w:tc>
        <w:tc>
          <w:tcPr>
            <w:tcW w:w="1727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[Query compliance knowledge agent]</w:t>
            </w:r>
          </w:p>
        </w:tc>
        <w:tc>
          <w:tcPr>
            <w:tcW w:w="1728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[No Claims data or agent configuration access]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Finance Team</w:t>
            </w:r>
          </w:p>
        </w:tc>
        <w:tc>
          <w:tcPr>
            <w:tcW w:w="1727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Finance Project only</w:t>
            </w:r>
          </w:p>
        </w:tc>
        <w:tc>
          <w:tcPr>
            <w:tcW w:w="172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Consumer-level query</w:t>
            </w:r>
          </w:p>
        </w:tc>
        <w:tc>
          <w:tcPr>
            <w:tcW w:w="1728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consumer/inference/dashboard role]</w:t>
            </w:r>
          </w:p>
        </w:tc>
        <w:tc>
          <w:tcPr>
            <w:tcW w:w="1727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[Query pre-built Teams/dashboard agent]</w:t>
            </w:r>
          </w:p>
        </w:tc>
        <w:tc>
          <w:tcPr>
            <w:tcW w:w="1728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[No deploy/build privileges]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IT Security Director</w:t>
            </w:r>
          </w:p>
        </w:tc>
        <w:tc>
          <w:tcPr>
            <w:tcW w:w="1727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review scope]</w:t>
            </w:r>
          </w:p>
        </w:tc>
        <w:tc>
          <w:tcPr>
            <w:tcW w:w="1729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Sign-off / review</w:t>
            </w:r>
          </w:p>
        </w:tc>
        <w:tc>
          <w:tcPr>
            <w:tcW w:w="1728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[Enter reviewer role]</w:t>
            </w:r>
          </w:p>
        </w:tc>
        <w:tc>
          <w:tcPr>
            <w:tcW w:w="1727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[Review workspace and identity design]</w:t>
            </w:r>
          </w:p>
        </w:tc>
        <w:tc>
          <w:tcPr>
            <w:tcW w:w="1728" w:type="dxa"/>
            <w:tcBorders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1F1F1F"/>
                <w:sz w:val="18"/>
              </w:rPr>
              <w:t>[No operational deployment unless assigned]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1036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/>
            <w:shd w:fill="D9EAF7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1F1F1F"/>
                <w:sz w:val="18"/>
              </w:rPr>
              <w:t>4. Managed Identity Design for Claims Processing Agents</w:t>
            </w:r>
          </w:p>
        </w:tc>
      </w:tr>
      <w:tr>
        <w:trPr>
          <w:trHeight w:val="2160" w:hRule="atLeast"/>
        </w:trPr>
        <w:tc>
          <w:tcPr>
            <w:tcW w:w="10368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595959"/>
                <w:sz w:val="18"/>
              </w:rPr>
              <w:t>Specify system-assigned or user-assigned managed identity, passwordless authentication path, downstream service access, and why no stored credentials are required.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1036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/>
            <w:shd w:fill="D9EAF7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1F1F1F"/>
                <w:sz w:val="18"/>
              </w:rPr>
              <w:t>5. FinOps Cost Isolation Specification</w:t>
            </w:r>
          </w:p>
        </w:tc>
      </w:tr>
      <w:tr>
        <w:trPr>
          <w:trHeight w:val="2160" w:hRule="atLeast"/>
        </w:trPr>
        <w:tc>
          <w:tcPr>
            <w:tcW w:w="10368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595959"/>
                <w:sz w:val="18"/>
              </w:rPr>
              <w:t>Name the specific mechanism used to isolate token costs across the three budget lines. Examples: Project-level budget allocation, cost center tags, dedicated resource groups per Project, token quota allocation, budget alerts. Do not write only “costs will be tracked separately.”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TableGrid"/>
        <w:tblW w:w="10368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368"/>
      </w:tblGrid>
      <w:tr>
        <w:trPr/>
        <w:tc>
          <w:tcPr>
            <w:tcW w:w="10368" w:type="dxa"/>
            <w:tcBorders/>
            <w:shd w:fill="D9EAF7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/>
                <w:color w:val="1F1F1F"/>
                <w:sz w:val="18"/>
              </w:rPr>
              <w:t>6. Security Sign-off Notes</w:t>
            </w:r>
          </w:p>
        </w:tc>
      </w:tr>
      <w:tr>
        <w:trPr>
          <w:trHeight w:val="1800" w:hRule="atLeast"/>
        </w:trPr>
        <w:tc>
          <w:tcPr>
            <w:tcW w:w="10368" w:type="dxa"/>
            <w:tcBorders/>
            <w:shd w:fill="F8F9FB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b w:val="false"/>
                <w:color w:val="595959"/>
                <w:sz w:val="18"/>
              </w:rPr>
              <w:t>Summarize why the workspace design is ready for IT Security Director review. Include unresolved assumptions if any.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Submission Checklist</w:t>
      </w:r>
    </w:p>
    <w:p>
      <w:pPr>
        <w:pStyle w:val="Normal"/>
        <w:rPr/>
      </w:pPr>
      <w:r>
        <w:rPr>
          <w:b/>
        </w:rPr>
        <w:t xml:space="preserve">☐ </w:t>
      </w:r>
      <w:r>
        <w:rPr/>
        <w:t>Three business units are mapped to distinct Projects with classification-based rationale.</w:t>
      </w:r>
    </w:p>
    <w:p>
      <w:pPr>
        <w:pStyle w:val="Normal"/>
        <w:rPr/>
      </w:pPr>
      <w:r>
        <w:rPr>
          <w:b/>
        </w:rPr>
        <w:t xml:space="preserve">☐ </w:t>
      </w:r>
      <w:r>
        <w:rPr/>
        <w:t>Operations, Legal, and Finance have different access levels at correct scopes.</w:t>
      </w:r>
    </w:p>
    <w:p>
      <w:pPr>
        <w:pStyle w:val="Normal"/>
        <w:rPr/>
      </w:pPr>
      <w:r>
        <w:rPr>
          <w:b/>
        </w:rPr>
        <w:t xml:space="preserve">☐ </w:t>
      </w:r>
      <w:r>
        <w:rPr/>
        <w:t>Legal cannot access Claims data or agent configurations.</w:t>
      </w:r>
    </w:p>
    <w:p>
      <w:pPr>
        <w:pStyle w:val="Normal"/>
        <w:rPr/>
      </w:pPr>
      <w:r>
        <w:rPr>
          <w:b/>
        </w:rPr>
        <w:t xml:space="preserve">☐ </w:t>
      </w:r>
      <w:r>
        <w:rPr/>
        <w:t>Finance has consumer-level access only and cannot build or deploy.</w:t>
      </w:r>
    </w:p>
    <w:p>
      <w:pPr>
        <w:pStyle w:val="Normal"/>
        <w:rPr/>
      </w:pPr>
      <w:r>
        <w:rPr>
          <w:b/>
        </w:rPr>
        <w:t xml:space="preserve">☐ </w:t>
      </w:r>
      <w:r>
        <w:rPr/>
        <w:t>Claims Processing agents use passwordless managed identity authentication.</w:t>
      </w:r>
    </w:p>
    <w:p>
      <w:pPr>
        <w:pStyle w:val="Normal"/>
        <w:rPr/>
      </w:pPr>
      <w:r>
        <w:rPr>
          <w:b/>
        </w:rPr>
        <w:t xml:space="preserve">☐ </w:t>
      </w:r>
      <w:r>
        <w:rPr/>
        <w:t>FinOps mechanism is specifically named and applies across all three budget lines.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2240" w:h="15840"/>
      <w:pgMar w:left="936" w:right="936" w:header="0" w:top="864" w:footer="0" w:bottom="86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Aptos" w:hAnsi="Aptos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0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LibreOffice/6.4.7.2$Linux_X86_64 LibreOffice_project/40$Build-2</Application>
  <Pages>3</Pages>
  <Words>492</Words>
  <Characters>3287</Characters>
  <CharactersWithSpaces>3675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>Gaurab Patra</cp:lastModifiedBy>
  <dcterms:modified xsi:type="dcterms:W3CDTF">2026-08-04T08:28:36Z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