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1F4E79"/>
          <w:sz w:val="36"/>
        </w:rPr>
        <w:t>Multi-Agent Architecture and A2A Specification Template</w:t>
      </w:r>
    </w:p>
    <w:p>
      <w:pPr>
        <w:pStyle w:val="Normal"/>
        <w:jc w:val="center"/>
        <w:rPr/>
      </w:pPr>
      <w:r>
        <w:rPr>
          <w:i/>
          <w:color w:val="595959"/>
          <w:sz w:val="20"/>
        </w:rPr>
        <w:t>Section 3 — Apex Insurance Group Integrated Architecture Package</w:t>
      </w:r>
    </w:p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Project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Apex Insurance Group Integrated Architecture and Sign-off Package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Template Section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Section 3 — Multi-Agent Governance and A2A Security Design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Learner Name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name]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Deliverable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AI-Graded File Upload (PDF)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FF2CC"/>
          </w:tcPr>
          <w:p>
            <w:pPr>
              <w:pStyle w:val="Normal"/>
              <w:spacing w:lineRule="auto" w:line="240" w:before="0" w:after="0"/>
              <w:rPr>
                <w:b w:val="false"/>
                <w:b w:val="false"/>
                <w:color w:val="1F1F1F"/>
                <w:sz w:val="18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Governance Pattern Selection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Selected Pattern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Why Sequential Is Insufficient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How Selected Pattern Handles Conditional Routing</w:t>
            </w:r>
          </w:p>
        </w:tc>
      </w:tr>
      <w:tr>
        <w:trPr/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orchestrator-led / conditional dynamic routing pattern]</w:t>
            </w:r>
          </w:p>
        </w:tc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why a strictly sequential pattern fails]</w:t>
            </w:r>
          </w:p>
        </w:tc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fraud anomaly reroute before Settlement Specialist]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Agent Boundary Decomposition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Single Responsibility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Inputs Consumed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Outputs Produced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Can Trigger Escalation?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 Intake / Extraction Agent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responsibility]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outputs]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Policy Cross-Reference Agent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responsibility]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outputs]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and Risk Specialist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responsibility]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outputs]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Settlement Specialist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responsibility]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outputs]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Orchestrator / Workflow Controller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responsibility]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outputs]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A2A Handoff: Fraud and Risk Specialist → Settlement Specialist</w:t>
      </w:r>
    </w:p>
    <w:p>
      <w:pPr>
        <w:pStyle w:val="Heading2"/>
        <w:rPr/>
      </w:pPr>
      <w:r>
        <w:rPr/>
        <w:t>3.1 Handoff Overview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Learner Response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Handoff Name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Risk Assessment to Settlement Drafting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Source Agent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and Risk Specialist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Target Agent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Settlement Specialist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Standard Path Description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[Describe when handoff proceeds]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Escalation Branch Description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[Describe when handoff must not proceed]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Correlation and Authentication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Learner Response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Correlation ID Format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unique ID format, e.g., claim_id + session_id]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Authentication Approach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managed identity or equivalent token-based approach; no hard-coded credentials]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Audit Trace Requirement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how correlation ID persists across the handoff]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Typed Handoff Schema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Source Field from Section 2 Output?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claim_id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Yes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description]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fraud_risk_score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float or integer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Yes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description]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risk_classification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Yes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description]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redacted_claim_summary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Yes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description]</w:t>
            </w:r>
          </w:p>
        </w:tc>
      </w:tr>
      <w:tr>
        <w:trPr/>
        <w:tc>
          <w:tcPr>
            <w:tcW w:w="207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field]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type]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description]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3.4 PII Redaction Rules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Data Element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Redaction Rule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Allowed Replacement / Token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Policyholder full name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rule]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token/anonymized value]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reason]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Policyholder address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rule]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token/anonymized value]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reason]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Policy number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rule]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token/anonymized value]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reason]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Free-text claim notes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rule]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token/anonymized value]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reason]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3.5 Escalation Branch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Escalation Condition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Action Taken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Settlement Specialist Handoff Proceeds?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Destination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High-confidence fraud signal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 consistent with Section 2, e.g., fraud_risk_score &gt;= 85%]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Bypass Settlement Specialist and route to fraud review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No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human review queue / owner]</w:t>
            </w:r>
          </w:p>
        </w:tc>
      </w:tr>
      <w:tr>
        <w:trPr/>
        <w:tc>
          <w:tcPr>
            <w:tcW w:w="207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condition]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action]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destination]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Submission Checklist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Selected governance pattern supports non-linear conditional routing.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Agent boundaries name each specialized agent with one responsibility.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A2A handoff includes correlation ID, typed schema, PII redaction, and authentication approach.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PII redaction rules name specific data elements to redact.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Fraud escalation branch prevents Settlement Specialist handoff when threshold is met.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A2A schema fields align with Section 2 task agent output schema.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936" w:right="936" w:header="0" w:top="864" w:footer="0" w:bottom="86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489</Words>
  <Characters>3355</Characters>
  <CharactersWithSpaces>3699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>Gaurab Patra</cp:lastModifiedBy>
  <dcterms:modified xsi:type="dcterms:W3CDTF">2026-08-04T08:30:24Z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