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b/>
          <w:color w:val="1F4E79"/>
          <w:sz w:val="36"/>
        </w:rPr>
        <w:t>Workflow Stabilization Plan Template</w:t>
      </w:r>
    </w:p>
    <w:p>
      <w:pPr>
        <w:pStyle w:val="Normal"/>
        <w:jc w:val="center"/>
        <w:rPr/>
      </w:pPr>
      <w:r>
        <w:rPr>
          <w:i/>
          <w:color w:val="595959"/>
          <w:sz w:val="20"/>
        </w:rPr>
        <w:t>Section 4 — Apex Insurance Group Integrated Architecture Package</w:t>
      </w:r>
    </w:p>
    <w:p>
      <w:pPr>
        <w:pStyle w:val="Normal"/>
        <w:rPr/>
      </w:pPr>
      <w:r>
        <w:rPr/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E7E6E6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Project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Apex Insurance Group Integrated Architecture and Sign-off Package</w:t>
            </w:r>
          </w:p>
        </w:tc>
      </w:tr>
      <w:tr>
        <w:trPr/>
        <w:tc>
          <w:tcPr>
            <w:tcW w:w="5184" w:type="dxa"/>
            <w:tcBorders/>
            <w:shd w:fill="E7E6E6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Template Section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Section 4 — Workflow Stabilization Assessment</w:t>
            </w:r>
          </w:p>
        </w:tc>
      </w:tr>
      <w:tr>
        <w:trPr/>
        <w:tc>
          <w:tcPr>
            <w:tcW w:w="5184" w:type="dxa"/>
            <w:tcBorders/>
            <w:shd w:fill="E7E6E6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Learner Name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name]</w:t>
            </w:r>
          </w:p>
        </w:tc>
      </w:tr>
      <w:tr>
        <w:trPr/>
        <w:tc>
          <w:tcPr>
            <w:tcW w:w="5184" w:type="dxa"/>
            <w:tcBorders/>
            <w:shd w:fill="E7E6E6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Deliverable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AI-Graded File Upload (PDF)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36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FF2CC"/>
          </w:tcPr>
          <w:p>
            <w:pPr>
              <w:pStyle w:val="Normal"/>
              <w:spacing w:lineRule="auto" w:line="240" w:before="0" w:after="0"/>
              <w:rPr>
                <w:b w:val="false"/>
                <w:b w:val="false"/>
                <w:color w:val="1F1F1F"/>
                <w:sz w:val="18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 Claims Processing Workflow Reference</w:t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2"/>
        <w:gridCol w:w="2592"/>
        <w:gridCol w:w="2592"/>
        <w:gridCol w:w="2591"/>
      </w:tblGrid>
      <w:tr>
        <w:trPr/>
        <w:tc>
          <w:tcPr>
            <w:tcW w:w="2592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Workflow Node</w:t>
            </w:r>
          </w:p>
        </w:tc>
        <w:tc>
          <w:tcPr>
            <w:tcW w:w="2592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Agent / System</w:t>
            </w:r>
          </w:p>
        </w:tc>
        <w:tc>
          <w:tcPr>
            <w:tcW w:w="2592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Normal Function</w:t>
            </w:r>
          </w:p>
        </w:tc>
        <w:tc>
          <w:tcPr>
            <w:tcW w:w="2591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Downstream Dependency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Claim document ingestion</w:t>
            </w:r>
          </w:p>
        </w:tc>
        <w:tc>
          <w:tcPr>
            <w:tcW w:w="259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Claim Intake / Extraction Agent</w:t>
            </w:r>
          </w:p>
        </w:tc>
        <w:tc>
          <w:tcPr>
            <w:tcW w:w="2592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function]</w:t>
            </w:r>
          </w:p>
        </w:tc>
        <w:tc>
          <w:tcPr>
            <w:tcW w:w="2591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dependency]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Policy cross-reference</w:t>
            </w:r>
          </w:p>
        </w:tc>
        <w:tc>
          <w:tcPr>
            <w:tcW w:w="259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Policy Cross-Reference Agent</w:t>
            </w:r>
          </w:p>
        </w:tc>
        <w:tc>
          <w:tcPr>
            <w:tcW w:w="2592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function]</w:t>
            </w:r>
          </w:p>
        </w:tc>
        <w:tc>
          <w:tcPr>
            <w:tcW w:w="2591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dependency]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Fraud and public records check</w:t>
            </w:r>
          </w:p>
        </w:tc>
        <w:tc>
          <w:tcPr>
            <w:tcW w:w="259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Fraud and Risk Specialist + external API</w:t>
            </w:r>
          </w:p>
        </w:tc>
        <w:tc>
          <w:tcPr>
            <w:tcW w:w="2592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function]</w:t>
            </w:r>
          </w:p>
        </w:tc>
        <w:tc>
          <w:tcPr>
            <w:tcW w:w="2591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dependency]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A2A handoff</w:t>
            </w:r>
          </w:p>
        </w:tc>
        <w:tc>
          <w:tcPr>
            <w:tcW w:w="259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Fraud and Risk Specialist → Settlement Specialist</w:t>
            </w:r>
          </w:p>
        </w:tc>
        <w:tc>
          <w:tcPr>
            <w:tcW w:w="2592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function]</w:t>
            </w:r>
          </w:p>
        </w:tc>
        <w:tc>
          <w:tcPr>
            <w:tcW w:w="2591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dependency]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Settlement output</w:t>
            </w:r>
          </w:p>
        </w:tc>
        <w:tc>
          <w:tcPr>
            <w:tcW w:w="259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Settlement Specialist</w:t>
            </w:r>
          </w:p>
        </w:tc>
        <w:tc>
          <w:tcPr>
            <w:tcW w:w="2592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function]</w:t>
            </w:r>
          </w:p>
        </w:tc>
        <w:tc>
          <w:tcPr>
            <w:tcW w:w="2591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dependency]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 Failure Node Assessment</w:t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7"/>
        <w:gridCol w:w="1729"/>
        <w:gridCol w:w="1728"/>
        <w:gridCol w:w="1727"/>
        <w:gridCol w:w="1728"/>
      </w:tblGrid>
      <w:tr>
        <w:trPr/>
        <w:tc>
          <w:tcPr>
            <w:tcW w:w="1728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Failure Node ID</w:t>
            </w:r>
          </w:p>
        </w:tc>
        <w:tc>
          <w:tcPr>
            <w:tcW w:w="1727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Specific Architecture Point</w:t>
            </w:r>
          </w:p>
        </w:tc>
        <w:tc>
          <w:tcPr>
            <w:tcW w:w="1729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Failure Description</w:t>
            </w:r>
          </w:p>
        </w:tc>
        <w:tc>
          <w:tcPr>
            <w:tcW w:w="1728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Impact if Unhandled</w:t>
            </w:r>
          </w:p>
        </w:tc>
        <w:tc>
          <w:tcPr>
            <w:tcW w:w="1727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Selected Error Handling Pattern</w:t>
            </w:r>
          </w:p>
        </w:tc>
        <w:tc>
          <w:tcPr>
            <w:tcW w:w="1728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FN-001</w:t>
            </w:r>
          </w:p>
        </w:tc>
        <w:tc>
          <w:tcPr>
            <w:tcW w:w="1727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External API dependency in fraud/public records check</w:t>
            </w:r>
          </w:p>
        </w:tc>
        <w:tc>
          <w:tcPr>
            <w:tcW w:w="1729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failure description]</w:t>
            </w:r>
          </w:p>
        </w:tc>
        <w:tc>
          <w:tcPr>
            <w:tcW w:w="1728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impact]</w:t>
            </w:r>
          </w:p>
        </w:tc>
        <w:tc>
          <w:tcPr>
            <w:tcW w:w="1727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Circuit breaker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[Explain why retry alone is insufficient]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FN-002</w:t>
            </w:r>
          </w:p>
        </w:tc>
        <w:tc>
          <w:tcPr>
            <w:tcW w:w="1727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Settlement Specialist output validation</w:t>
            </w:r>
          </w:p>
        </w:tc>
        <w:tc>
          <w:tcPr>
            <w:tcW w:w="1729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failure description]</w:t>
            </w:r>
          </w:p>
        </w:tc>
        <w:tc>
          <w:tcPr>
            <w:tcW w:w="1728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impact]</w:t>
            </w:r>
          </w:p>
        </w:tc>
        <w:tc>
          <w:tcPr>
            <w:tcW w:w="1727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Validation failure branch</w:t>
            </w:r>
          </w:p>
        </w:tc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[Explain downstream protection]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FN-003</w:t>
            </w:r>
          </w:p>
        </w:tc>
        <w:tc>
          <w:tcPr>
            <w:tcW w:w="1727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Agent interaction observability / A2A handoff instrumentation</w:t>
            </w:r>
          </w:p>
        </w:tc>
        <w:tc>
          <w:tcPr>
            <w:tcW w:w="1729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failure description]</w:t>
            </w:r>
          </w:p>
        </w:tc>
        <w:tc>
          <w:tcPr>
            <w:tcW w:w="1728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impact]</w:t>
            </w:r>
          </w:p>
        </w:tc>
        <w:tc>
          <w:tcPr>
            <w:tcW w:w="1727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Observability instrumentation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[Explain audit requirement]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 Retry and Circuit Breaker Configuration</w:t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7"/>
        <w:gridCol w:w="1729"/>
        <w:gridCol w:w="1728"/>
        <w:gridCol w:w="1727"/>
        <w:gridCol w:w="1728"/>
      </w:tblGrid>
      <w:tr>
        <w:trPr/>
        <w:tc>
          <w:tcPr>
            <w:tcW w:w="1728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Failure Node</w:t>
            </w:r>
          </w:p>
        </w:tc>
        <w:tc>
          <w:tcPr>
            <w:tcW w:w="1727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Retry Count</w:t>
            </w:r>
          </w:p>
        </w:tc>
        <w:tc>
          <w:tcPr>
            <w:tcW w:w="1729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Backoff Strategy</w:t>
            </w:r>
          </w:p>
        </w:tc>
        <w:tc>
          <w:tcPr>
            <w:tcW w:w="1728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Circuit Open Condition</w:t>
            </w:r>
          </w:p>
        </w:tc>
        <w:tc>
          <w:tcPr>
            <w:tcW w:w="1727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Fallback / Alternate Route</w:t>
            </w:r>
          </w:p>
        </w:tc>
        <w:tc>
          <w:tcPr>
            <w:tcW w:w="1728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Recovery Condition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FN-001</w:t>
            </w:r>
          </w:p>
        </w:tc>
        <w:tc>
          <w:tcPr>
            <w:tcW w:w="1727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e.g., 2-3]</w:t>
            </w:r>
          </w:p>
        </w:tc>
        <w:tc>
          <w:tcPr>
            <w:tcW w:w="1729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exponential backoff details]</w:t>
            </w:r>
          </w:p>
        </w:tc>
        <w:tc>
          <w:tcPr>
            <w:tcW w:w="1728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API failure/latency threshold]</w:t>
            </w:r>
          </w:p>
        </w:tc>
        <w:tc>
          <w:tcPr>
            <w:tcW w:w="1727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[Human review queue or cached/fallback risk score]</w:t>
            </w:r>
          </w:p>
        </w:tc>
        <w:tc>
          <w:tcPr>
            <w:tcW w:w="1728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recovery criteria]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FN-002</w:t>
            </w:r>
          </w:p>
        </w:tc>
        <w:tc>
          <w:tcPr>
            <w:tcW w:w="1727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N/A or [Enter if applicable]</w:t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N/A or [Enter]</w:t>
            </w:r>
          </w:p>
        </w:tc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N/A</w:t>
            </w:r>
          </w:p>
        </w:tc>
        <w:tc>
          <w:tcPr>
            <w:tcW w:w="1727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[Validation failure branch]</w:t>
            </w:r>
          </w:p>
        </w:tc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[Schema validation passes]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FN-003</w:t>
            </w:r>
          </w:p>
        </w:tc>
        <w:tc>
          <w:tcPr>
            <w:tcW w:w="1727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N/A</w:t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N/A</w:t>
            </w:r>
          </w:p>
        </w:tc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N/A</w:t>
            </w:r>
          </w:p>
        </w:tc>
        <w:tc>
          <w:tcPr>
            <w:tcW w:w="1727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[Block release or route to instrumentation remediation]</w:t>
            </w:r>
          </w:p>
        </w:tc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[Required spans visible in telemetry]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 Observability Specification</w:t>
      </w:r>
    </w:p>
    <w:tbl>
      <w:tblPr>
        <w:tblStyle w:val="TableGrid"/>
        <w:tblW w:w="10369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73"/>
        <w:gridCol w:w="2074"/>
        <w:gridCol w:w="2074"/>
        <w:gridCol w:w="2074"/>
        <w:gridCol w:w="2074"/>
      </w:tblGrid>
      <w:tr>
        <w:trPr/>
        <w:tc>
          <w:tcPr>
            <w:tcW w:w="2073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Span Name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Architecture Point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Capture Targets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PII Handling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Owner / Consumer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fraud_api.call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Fraud and public records API call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API response status, latency, retry count, circuit state open/closed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No full payload; claim reference only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owner]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settlement_output.validation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Settlement Specialist output validation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Validation pass/fail, schema version, field-level error detail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No raw PII in validation logs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owner]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a2a.handoff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Inter-agent handoff events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Sending agent ID, receiving agent ID, correlation ID, timestamp, payload hash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Payload hash only; no full handoff payload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owner]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 Stabilization Decision Summary</w:t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w="5183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Learner Response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Can the workflow survive external API outage without blank settlement letters?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response]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Can malformed settlement output be stopped before downstream use?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response]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Can compliance reconstruct agent interactions for audit?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response]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Open risks or assumptions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response]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Submission Checklist</w:t>
      </w:r>
    </w:p>
    <w:p>
      <w:pPr>
        <w:pStyle w:val="Normal"/>
        <w:rPr/>
      </w:pPr>
      <w:r>
        <w:rPr>
          <w:b/>
        </w:rPr>
        <w:t xml:space="preserve">☐ </w:t>
      </w:r>
      <w:r>
        <w:rPr/>
        <w:t>Three failure nodes are specific to the Claims Processing architecture.</w:t>
      </w:r>
    </w:p>
    <w:p>
      <w:pPr>
        <w:pStyle w:val="Normal"/>
        <w:rPr/>
      </w:pPr>
      <w:r>
        <w:rPr>
          <w:b/>
        </w:rPr>
        <w:t xml:space="preserve">☐ </w:t>
      </w:r>
      <w:r>
        <w:rPr/>
        <w:t>External fraud/public records API uses a circuit breaker, not retry-only handling.</w:t>
      </w:r>
    </w:p>
    <w:p>
      <w:pPr>
        <w:pStyle w:val="Normal"/>
        <w:rPr/>
      </w:pPr>
      <w:r>
        <w:rPr>
          <w:b/>
        </w:rPr>
        <w:t xml:space="preserve">☐ </w:t>
      </w:r>
      <w:r>
        <w:rPr/>
        <w:t>Settlement Specialist malformed output uses a validation failure branch.</w:t>
      </w:r>
    </w:p>
    <w:p>
      <w:pPr>
        <w:pStyle w:val="Normal"/>
        <w:rPr/>
      </w:pPr>
      <w:r>
        <w:rPr>
          <w:b/>
        </w:rPr>
        <w:t xml:space="preserve">☐ </w:t>
      </w:r>
      <w:r>
        <w:rPr/>
        <w:t>Observability spans name specific capture targets.</w:t>
      </w:r>
    </w:p>
    <w:p>
      <w:pPr>
        <w:pStyle w:val="Normal"/>
        <w:rPr/>
      </w:pPr>
      <w:r>
        <w:rPr>
          <w:b/>
        </w:rPr>
        <w:t xml:space="preserve">☐ </w:t>
      </w:r>
      <w:r>
        <w:rPr/>
        <w:t>A2A handoff instrumentation includes correlation ID and payload hash, not full PII payload.</w:t>
      </w:r>
    </w:p>
    <w:p>
      <w:pPr>
        <w:pStyle w:val="Normal"/>
        <w:rPr/>
      </w:pPr>
      <w:r>
        <w:rPr>
          <w:b/>
        </w:rPr>
        <w:t xml:space="preserve">☐ </w:t>
      </w:r>
      <w:r>
        <w:rPr/>
        <w:t>Failure nodes trace back to agents or handoffs defined in Sections 2 and 3.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936" w:right="936" w:header="0" w:top="864" w:footer="0" w:bottom="86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0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3</Pages>
  <Words>490</Words>
  <Characters>3244</Characters>
  <CharactersWithSpaces>3611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>Gaurab Patra</cp:lastModifiedBy>
  <dcterms:modified xsi:type="dcterms:W3CDTF">2026-08-04T08:31:10Z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