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pPr>
      <w:r>
        <w:rPr>
          <w:rFonts w:ascii="Aptos" w:hAnsi="Aptos"/>
          <w:color w:val="1F2937"/>
          <w:sz w:val="40"/>
        </w:rPr>
        <w:t>Integrated Delivery Architecture Document</w:t>
      </w:r>
    </w:p>
    <w:tbl>
      <w:tblPr>
        <w:tblW w:type="dxa" w:w="10512"/>
        <w:jc w:val="center"/>
        <w:tblLayout w:type="fixed"/>
        <w:tblLook w:firstColumn="1" w:firstRow="1" w:lastColumn="0" w:lastRow="0" w:noHBand="0" w:noVBand="1" w:val="04A0"/>
      </w:tblPr>
      <w:tblGrid>
        <w:gridCol w:w="5256"/>
        <w:gridCol w:w="5256"/>
      </w:tblGrid>
      <w:tr>
        <w:tc>
          <w:tcPr>
            <w:tcW w:type="dxa" w:w="5256"/>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F8FAFC"/>
          </w:tcPr>
          <w:p>
            <w:pPr>
              <w:spacing w:after="0"/>
            </w:pPr>
            <w:r/>
            <w:r>
              <w:rPr>
                <w:rFonts w:ascii="Aptos" w:hAnsi="Aptos"/>
                <w:b/>
                <w:color w:val="1F2937"/>
                <w:sz w:val="20"/>
              </w:rPr>
              <w:t>Client:</w:t>
            </w:r>
            <w:r>
              <w:rPr>
                <w:rFonts w:ascii="Aptos" w:hAnsi="Aptos"/>
                <w:color w:val="1F2937"/>
                <w:sz w:val="20"/>
              </w:rPr>
              <w:t xml:space="preserve"> Meridian Mutual Lending Group</w:t>
            </w:r>
            <w:r>
              <w:br/>
            </w:r>
            <w:r>
              <w:rPr>
                <w:rFonts w:ascii="Aptos" w:hAnsi="Aptos"/>
                <w:b/>
                <w:color w:val="1F2937"/>
                <w:sz w:val="20"/>
              </w:rPr>
              <w:t>Prepared by:</w:t>
            </w:r>
            <w:r>
              <w:rPr>
                <w:rFonts w:ascii="Aptos" w:hAnsi="Aptos"/>
                <w:color w:val="1F2937"/>
                <w:sz w:val="20"/>
              </w:rPr>
              <w:t xml:space="preserve"> </w:t>
            </w:r>
            <w:r>
              <w:rPr>
                <w:rFonts w:ascii="Aptos" w:hAnsi="Aptos"/>
                <w:color w:val="1F2937"/>
                <w:sz w:val="20"/>
              </w:rPr>
              <w:t>Senior AI Solutions Architect, Integrated AI Platform Delivery Team</w:t>
            </w:r>
          </w:p>
        </w:tc>
        <w:tc>
          <w:tcPr>
            <w:tcW w:type="dxa" w:w="5256"/>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F8FAFC"/>
          </w:tcPr>
          <w:p>
            <w:pPr>
              <w:spacing w:after="0"/>
            </w:pPr>
            <w:r/>
            <w:r>
              <w:rPr>
                <w:rFonts w:ascii="Aptos" w:hAnsi="Aptos"/>
                <w:b/>
                <w:color w:val="1F2937"/>
                <w:sz w:val="20"/>
              </w:rPr>
              <w:t>Date:</w:t>
            </w:r>
            <w:r>
              <w:rPr>
                <w:rFonts w:ascii="Aptos" w:hAnsi="Aptos"/>
                <w:color w:val="1F2937"/>
                <w:sz w:val="20"/>
              </w:rPr>
              <w:t xml:space="preserve"> </w:t>
            </w:r>
            <w:r>
              <w:rPr>
                <w:rFonts w:ascii="Aptos" w:hAnsi="Aptos"/>
                <w:color w:val="1F2937"/>
                <w:sz w:val="20"/>
              </w:rPr>
              <w:t>29 October 2026</w:t>
            </w:r>
            <w:r>
              <w:br/>
            </w:r>
            <w:r>
              <w:rPr>
                <w:rFonts w:ascii="Aptos" w:hAnsi="Aptos"/>
                <w:b/>
                <w:color w:val="1F2937"/>
                <w:sz w:val="20"/>
              </w:rPr>
              <w:t>Version:</w:t>
            </w:r>
            <w:r>
              <w:rPr>
                <w:rFonts w:ascii="Aptos" w:hAnsi="Aptos"/>
                <w:color w:val="1F2937"/>
                <w:sz w:val="20"/>
              </w:rPr>
              <w:t xml:space="preserve"> 1.0</w:t>
            </w:r>
          </w:p>
        </w:tc>
      </w:tr>
    </w:tbl>
    <w:p>
      <w:pPr>
        <w:spacing w:after="80"/>
      </w:pPr>
    </w:p>
    <w:p>
      <w:pPr>
        <w:spacing w:after="120"/>
      </w:pPr>
      <w:r>
        <w:rPr>
          <w:rFonts w:ascii="Aptos" w:hAnsi="Aptos"/>
          <w:b/>
          <w:color w:val="1F2937"/>
          <w:sz w:val="20"/>
        </w:rPr>
        <w:t>Audience:</w:t>
      </w:r>
      <w:r>
        <w:rPr>
          <w:rFonts w:ascii="Aptos" w:hAnsi="Aptos"/>
          <w:color w:val="1F2937"/>
          <w:sz w:val="20"/>
        </w:rPr>
        <w:t xml:space="preserve"> Chief Risk Officer and production launch governance committee.</w:t>
      </w:r>
    </w:p>
    <w:p>
      <w:pPr>
        <w:pBdr>
          <w:left w:val="single" w:sz="18" w:space="8" w:color="17365D"/>
        </w:pBdr>
        <w:shd w:val="clear" w:color="auto" w:fill="EAF2F8"/>
        <w:spacing w:after="120"/>
        <w:ind w:left="160" w:right="80"/>
      </w:pPr>
      <w:r>
        <w:rPr>
          <w:rFonts w:ascii="Aptos" w:hAnsi="Aptos" w:cs="Aptos"/>
          <w:b/>
          <w:color w:val="1F2937"/>
          <w:sz w:val="20"/>
          <w:szCs w:val="20"/>
        </w:rPr>
        <w:t xml:space="preserve">Launch readiness position:</w:t>
      </w:r>
      <w:r>
        <w:rPr>
          <w:rFonts w:ascii="Aptos" w:hAnsi="Aptos" w:cs="Aptos"/>
          <w:b w:val="0"/>
          <w:color w:val="1F2937"/>
          <w:sz w:val="20"/>
          <w:szCs w:val="20"/>
        </w:rPr>
        <w:t xml:space="preserve"> Recommended for the Q4 controlled launch, subject to three pre-launch conditions set out in this document: (1) the note-submission flow moves to a least-privilege connection reference (Section 1); (2) classifier telemetry records the model version, and a Foundry model rollback path is defined (Section 4); and (3) the Foundry model version is pinned into the Power Platform release, so every customer-visible change passes one approval gate (Section 4). Approval SLAs, restoration targets and drift thresholds that the scenario brief does not specify are design decisions proposed for committee ratification.</w:t>
      </w:r>
    </w:p>
    <w:p>
      <w:pPr>
        <w:pStyle w:val="Heading2"/>
        <w:spacing w:after="120"/>
        <w:pBdr>
          <w:bottom w:val="single" w:sz="6" w:space="4" w:color="CBD5E1"/>
        </w:pBdr>
      </w:pPr>
      <w:r>
        <w:rPr>
          <w:rFonts w:ascii="Aptos" w:hAnsi="Aptos"/>
          <w:color w:val="1F2937"/>
          <w:sz w:val="28"/>
        </w:rPr>
        <w:t>1. D365 and Power Platform AI Configuration Summary</w:t>
      </w:r>
    </w:p>
    <w:p>
      <w:pPr>
        <w:pStyle w:val="Heading3"/>
        <w:spacing w:after="120"/>
      </w:pPr>
      <w:r>
        <w:rPr>
          <w:rFonts w:ascii="Aptos" w:hAnsi="Aptos"/>
          <w:color w:val="1F2937"/>
          <w:sz w:val="22"/>
        </w:rPr>
        <w:t>Configuration Decision Table</w:t>
      </w:r>
    </w:p>
    <w:tbl>
      <w:tblPr>
        <w:tblW w:type="dxa" w:w="10512"/>
        <w:jc w:val="center"/>
        <w:tblLayout w:type="fixed"/>
        <w:tblLook w:firstColumn="1" w:firstRow="1" w:lastColumn="0" w:lastRow="0" w:noHBand="0" w:noVBand="1" w:val="04A0"/>
      </w:tblPr>
      <w:tblGrid>
        <w:gridCol w:w="1700"/>
        <w:gridCol w:w="3500"/>
        <w:gridCol w:w="2812"/>
        <w:gridCol w:w="2500"/>
      </w:tblGrid>
      <w:tr>
        <w:trPr>
          <w:cantSplit/>
          <w:tblHeader/>
        </w:trPr>
        <w:tc>
          <w:tcPr>
            <w:tcW w:type="dxa" w:w="1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Decision Area</w:t>
            </w:r>
          </w:p>
        </w:tc>
        <w:tc>
          <w:tcPr>
            <w:tcW w:type="dxa" w:w="3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Scenario-Specific Configuration Decision</w:t>
            </w:r>
          </w:p>
        </w:tc>
        <w:tc>
          <w:tcPr>
            <w:tcW w:type="dxa" w:w="28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Governance Rationale</w:t>
            </w:r>
          </w:p>
        </w:tc>
        <w:tc>
          <w:tcPr>
            <w:tcW w:type="dxa" w:w="2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Evidence / Owner</w:t>
            </w:r>
          </w:p>
        </w:tc>
      </w:tr>
      <w:tr>
        <w:trPr>
          <w:cantSplit/>
        </w:trPr>
        <w:tc>
          <w:tcPr>
            <w:tcW w:type="dxa" w:w="1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40" w:line="252" w:lineRule="auto"/>
            </w:pPr>
            <w:r>
              <w:rPr>
                <w:rFonts w:ascii="Aptos" w:hAnsi="Aptos" w:cs="Aptos"/>
                <w:b w:val="0"/>
                <w:color w:val="64748B"/>
                <w:sz w:val="16"/>
                <w:szCs w:val="16"/>
              </w:rPr>
              <w:t xml:space="preserve">Business term / data semantic 1</w:t>
            </w:r>
          </w:p>
          <w:p>
            <w:pPr>
              <w:spacing w:before="0" w:after="0" w:line="252" w:lineRule="auto"/>
            </w:pPr>
            <w:r>
              <w:rPr>
                <w:rFonts w:ascii="Aptos" w:hAnsi="Aptos" w:cs="Aptos"/>
                <w:b/>
                <w:color w:val="1F2937"/>
                <w:sz w:val="18"/>
                <w:szCs w:val="18"/>
              </w:rPr>
              <w:t xml:space="preserve">Application status</w:t>
            </w:r>
          </w:p>
        </w:tc>
        <w:tc>
          <w:tcPr>
            <w:tcW w:type="dxa" w:w="3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Map the six loan origination system (LOS) statuses (</w:t>
            </w:r>
            <w:r>
              <w:rPr>
                <w:rFonts w:ascii="Aptos" w:hAnsi="Aptos" w:cs="Aptos"/>
                <w:b/>
                <w:color w:val="1F2937"/>
                <w:sz w:val="18"/>
                <w:szCs w:val="18"/>
              </w:rPr>
              <w:t xml:space="preserve">Received, In Review, Pending Documentation, Conditional Approval, Declined, Funded</w:t>
            </w:r>
            <w:r>
              <w:rPr>
                <w:rFonts w:ascii="Aptos" w:hAnsi="Aptos" w:cs="Aptos"/>
                <w:b w:val="0"/>
                <w:color w:val="1F2937"/>
                <w:sz w:val="18"/>
                <w:szCs w:val="18"/>
              </w:rPr>
              <w:t xml:space="preserve">) to a locked Dataverse choice column that AI identities can only read.</w:t>
            </w:r>
          </w:p>
          <w:p>
            <w:pPr>
              <w:spacing w:before="0" w:after="0" w:line="252" w:lineRule="auto"/>
            </w:pPr>
            <w:r>
              <w:rPr>
                <w:rFonts w:ascii="Aptos" w:hAnsi="Aptos" w:cs="Aptos"/>
                <w:b w:val="0"/>
                <w:color w:val="1F2937"/>
                <w:sz w:val="18"/>
                <w:szCs w:val="18"/>
              </w:rPr>
              <w:t xml:space="preserve">Agents and the canvas app summary card show the status value exactly as stored. The AI is not allowed to rephrase it, and an output check rejects informal variants such as “almost approved” or “probably declined”.</w:t>
            </w:r>
          </w:p>
        </w:tc>
        <w:tc>
          <w:tcPr>
            <w:tcW w:type="dxa" w:w="28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val="0"/>
                <w:color w:val="1F2937"/>
                <w:sz w:val="18"/>
                <w:szCs w:val="18"/>
              </w:rPr>
              <w:t xml:space="preserve">Status wording is a conduct-risk surface. An informal paraphrase can read as an implied credit commitment or a premature adverse decision. One controlled vocabulary keeps agents, servicing staff and the canvas app consistent with the system of record.</w:t>
            </w:r>
          </w:p>
        </w:tc>
        <w:tc>
          <w:tcPr>
            <w:tcW w:type="dxa" w:w="2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Owner:</w:t>
            </w:r>
            <w:r>
              <w:rPr>
                <w:rFonts w:ascii="Aptos" w:hAnsi="Aptos" w:cs="Aptos"/>
                <w:b w:val="0"/>
                <w:color w:val="1F2937"/>
                <w:sz w:val="18"/>
                <w:szCs w:val="18"/>
              </w:rPr>
              <w:t xml:space="preserve"> Head of Loan Servicing (data owner).</w:t>
            </w:r>
          </w:p>
          <w:p>
            <w:pPr>
              <w:spacing w:before="0" w:after="0" w:line="252" w:lineRule="auto"/>
            </w:pPr>
            <w:r>
              <w:rPr>
                <w:rFonts w:ascii="Aptos" w:hAnsi="Aptos" w:cs="Aptos"/>
                <w:b/>
                <w:color w:val="1F2937"/>
                <w:sz w:val="18"/>
                <w:szCs w:val="18"/>
              </w:rPr>
              <w:t xml:space="preserve">Evidence:</w:t>
            </w:r>
            <w:r>
              <w:rPr>
                <w:rFonts w:ascii="Aptos" w:hAnsi="Aptos" w:cs="Aptos"/>
                <w:b w:val="0"/>
                <w:color w:val="1F2937"/>
                <w:sz w:val="18"/>
                <w:szCs w:val="18"/>
              </w:rPr>
              <w:t xml:space="preserve"> choice-column definition in the managed solution; prompt-safety pack “status paraphrase” cases at 100% pass; Compliance sign-off.</w:t>
            </w:r>
          </w:p>
        </w:tc>
      </w:tr>
      <w:tr>
        <w:trPr>
          <w:cantSplit/>
        </w:trPr>
        <w:tc>
          <w:tcPr>
            <w:tcW w:type="dxa" w:w="1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40" w:line="252" w:lineRule="auto"/>
            </w:pPr>
            <w:r>
              <w:rPr>
                <w:rFonts w:ascii="Aptos" w:hAnsi="Aptos" w:cs="Aptos"/>
                <w:b w:val="0"/>
                <w:color w:val="64748B"/>
                <w:sz w:val="16"/>
                <w:szCs w:val="16"/>
              </w:rPr>
              <w:t xml:space="preserve">Business term / data semantic 2</w:t>
            </w:r>
          </w:p>
          <w:p>
            <w:pPr>
              <w:spacing w:before="0" w:after="0" w:line="252" w:lineRule="auto"/>
            </w:pPr>
            <w:r>
              <w:rPr>
                <w:rFonts w:ascii="Aptos" w:hAnsi="Aptos" w:cs="Aptos"/>
                <w:b/>
                <w:color w:val="1F2937"/>
                <w:sz w:val="18"/>
                <w:szCs w:val="18"/>
              </w:rPr>
              <w:t xml:space="preserve">Hardship indicator</w:t>
            </w:r>
          </w:p>
        </w:tc>
        <w:tc>
          <w:tcPr>
            <w:tcW w:type="dxa" w:w="3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Treat the regulated hardship flag as a restricted attribute protected by field-level security. The AI may read it only as a routing and escalation signal, and to choose an approved article that explains the next procedural steps.</w:t>
            </w:r>
          </w:p>
          <w:p>
            <w:pPr>
              <w:spacing w:before="0" w:after="0" w:line="252" w:lineRule="auto"/>
            </w:pPr>
            <w:r>
              <w:rPr>
                <w:rFonts w:ascii="Aptos" w:hAnsi="Aptos" w:cs="Aptos"/>
                <w:b w:val="0"/>
                <w:color w:val="1F2937"/>
                <w:sz w:val="18"/>
                <w:szCs w:val="18"/>
              </w:rPr>
              <w:t xml:space="preserve">The flag is kept out of the AI’s prompt context, so no response can state or imply that the customer is eligible for hardship relief.</w:t>
            </w:r>
          </w:p>
        </w:tc>
        <w:tc>
          <w:tcPr>
            <w:tcW w:type="dxa" w:w="28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val="0"/>
                <w:color w:val="1F2937"/>
                <w:sz w:val="18"/>
                <w:szCs w:val="18"/>
              </w:rPr>
              <w:t xml:space="preserve">Whether a customer qualifies for hardship relief is a regulated decision made by licensed staff, and the customer may be vulnerable. Limiting the AI to procedural steps removes the risk of a prediction while still getting the customer to the right specialist faster.</w:t>
            </w:r>
          </w:p>
        </w:tc>
        <w:tc>
          <w:tcPr>
            <w:tcW w:type="dxa" w:w="2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Owner:</w:t>
            </w:r>
            <w:r>
              <w:rPr>
                <w:rFonts w:ascii="Aptos" w:hAnsi="Aptos" w:cs="Aptos"/>
                <w:b w:val="0"/>
                <w:color w:val="1F2937"/>
                <w:sz w:val="18"/>
                <w:szCs w:val="18"/>
              </w:rPr>
              <w:t xml:space="preserve"> Hardship &amp; Collections Policy Lead (Compliance).</w:t>
            </w:r>
          </w:p>
          <w:p>
            <w:pPr>
              <w:spacing w:before="0" w:after="0" w:line="252" w:lineRule="auto"/>
            </w:pPr>
            <w:r>
              <w:rPr>
                <w:rFonts w:ascii="Aptos" w:hAnsi="Aptos" w:cs="Aptos"/>
                <w:b/>
                <w:color w:val="1F2937"/>
                <w:sz w:val="18"/>
                <w:szCs w:val="18"/>
              </w:rPr>
              <w:t xml:space="preserve">Evidence:</w:t>
            </w:r>
            <w:r>
              <w:rPr>
                <w:rFonts w:ascii="Aptos" w:hAnsi="Aptos" w:cs="Aptos"/>
                <w:b w:val="0"/>
                <w:color w:val="1F2937"/>
                <w:sz w:val="18"/>
                <w:szCs w:val="18"/>
              </w:rPr>
              <w:t xml:space="preserve"> field security profile; review of the prompt input schema; red-team cases (“Will I qualify for hardship relief?”) return procedural text plus escalation.</w:t>
            </w:r>
          </w:p>
        </w:tc>
      </w:tr>
      <w:tr>
        <w:trPr>
          <w:cantSplit/>
        </w:trPr>
        <w:tc>
          <w:tcPr>
            <w:tcW w:type="dxa" w:w="1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40" w:line="252" w:lineRule="auto"/>
            </w:pPr>
            <w:r>
              <w:rPr>
                <w:rFonts w:ascii="Aptos" w:hAnsi="Aptos" w:cs="Aptos"/>
                <w:b w:val="0"/>
                <w:color w:val="64748B"/>
                <w:sz w:val="16"/>
                <w:szCs w:val="16"/>
              </w:rPr>
              <w:t xml:space="preserve">Business term / data semantic 3</w:t>
            </w:r>
          </w:p>
          <w:p>
            <w:pPr>
              <w:spacing w:before="0" w:after="0" w:line="252" w:lineRule="auto"/>
            </w:pPr>
            <w:r>
              <w:rPr>
                <w:rFonts w:ascii="Aptos" w:hAnsi="Aptos" w:cs="Aptos"/>
                <w:b/>
                <w:color w:val="1F2937"/>
                <w:sz w:val="18"/>
                <w:szCs w:val="18"/>
              </w:rPr>
              <w:t xml:space="preserve">Credit decision reason code</w:t>
            </w:r>
          </w:p>
        </w:tc>
        <w:tc>
          <w:tcPr>
            <w:tcW w:type="dxa" w:w="3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Import reason codes from the LOS as read-only and display the code and recorded label exactly as stored, using fixed rendering rather than AI summarization.</w:t>
            </w:r>
          </w:p>
          <w:p>
            <w:pPr>
              <w:spacing w:before="0" w:after="0" w:line="252" w:lineRule="auto"/>
            </w:pPr>
            <w:r>
              <w:rPr>
                <w:rFonts w:ascii="Aptos" w:hAnsi="Aptos" w:cs="Aptos"/>
                <w:b w:val="0"/>
                <w:color w:val="1F2937"/>
                <w:sz w:val="18"/>
                <w:szCs w:val="18"/>
              </w:rPr>
              <w:t xml:space="preserve">The AI cannot create, merge or reword labels. A question about what a code means is answered only with approved knowledge-article text, or escalated.</w:t>
            </w:r>
          </w:p>
        </w:tc>
        <w:tc>
          <w:tcPr>
            <w:tcW w:type="dxa" w:w="28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val="0"/>
                <w:color w:val="1F2937"/>
                <w:sz w:val="18"/>
                <w:szCs w:val="18"/>
              </w:rPr>
              <w:t xml:space="preserve">Reason codes underpin adverse-action notices. Any AI reinterpretation would create a second, inconsistent explanation of a credit decision, which is a fair lending and complaints exposure.</w:t>
            </w:r>
          </w:p>
        </w:tc>
        <w:tc>
          <w:tcPr>
            <w:tcW w:type="dxa" w:w="2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Owner:</w:t>
            </w:r>
            <w:r>
              <w:rPr>
                <w:rFonts w:ascii="Aptos" w:hAnsi="Aptos" w:cs="Aptos"/>
                <w:b w:val="0"/>
                <w:color w:val="1F2937"/>
                <w:sz w:val="18"/>
                <w:szCs w:val="18"/>
              </w:rPr>
              <w:t xml:space="preserve"> Credit Decisioning Data Owner (LOS).</w:t>
            </w:r>
          </w:p>
          <w:p>
            <w:pPr>
              <w:spacing w:before="0" w:after="0" w:line="252" w:lineRule="auto"/>
            </w:pPr>
            <w:r>
              <w:rPr>
                <w:rFonts w:ascii="Aptos" w:hAnsi="Aptos" w:cs="Aptos"/>
                <w:b/>
                <w:color w:val="1F2937"/>
                <w:sz w:val="18"/>
                <w:szCs w:val="18"/>
              </w:rPr>
              <w:t xml:space="preserve">Evidence:</w:t>
            </w:r>
            <w:r>
              <w:rPr>
                <w:rFonts w:ascii="Aptos" w:hAnsi="Aptos" w:cs="Aptos"/>
                <w:b w:val="0"/>
                <w:color w:val="1F2937"/>
                <w:sz w:val="18"/>
                <w:szCs w:val="18"/>
              </w:rPr>
              <w:t xml:space="preserve"> integration mapping specification; automated test that the displayed code and label match the LOS exactly (100%); column is read-only for every AI connection identity.</w:t>
            </w:r>
          </w:p>
        </w:tc>
      </w:tr>
      <w:tr>
        <w:trPr>
          <w:cantSplit/>
        </w:trPr>
        <w:tc>
          <w:tcPr>
            <w:tcW w:type="dxa" w:w="1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40" w:line="252" w:lineRule="auto"/>
            </w:pPr>
            <w:r>
              <w:rPr>
                <w:rFonts w:ascii="Aptos" w:hAnsi="Aptos" w:cs="Aptos"/>
                <w:b w:val="0"/>
                <w:color w:val="64748B"/>
                <w:sz w:val="16"/>
                <w:szCs w:val="16"/>
              </w:rPr>
              <w:t xml:space="preserve">Response behavior constraint 1</w:t>
            </w:r>
          </w:p>
          <w:p>
            <w:pPr>
              <w:spacing w:before="0" w:after="0" w:line="252" w:lineRule="auto"/>
            </w:pPr>
            <w:r>
              <w:rPr>
                <w:rFonts w:ascii="Aptos" w:hAnsi="Aptos" w:cs="Aptos"/>
                <w:b/>
                <w:color w:val="1F2937"/>
                <w:sz w:val="18"/>
                <w:szCs w:val="18"/>
              </w:rPr>
              <w:t xml:space="preserve">Loan-status disclosure</w:t>
            </w:r>
          </w:p>
        </w:tc>
        <w:tc>
          <w:tcPr>
            <w:tcW w:type="dxa" w:w="3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Append the exact text “This summary is based on currently available account data.” to every response that summarizes loan status.</w:t>
            </w:r>
          </w:p>
          <w:p>
            <w:pPr>
              <w:spacing w:before="0" w:after="0" w:line="252" w:lineRule="auto"/>
            </w:pPr>
            <w:r>
              <w:rPr>
                <w:rFonts w:ascii="Aptos" w:hAnsi="Aptos" w:cs="Aptos"/>
                <w:b w:val="0"/>
                <w:color w:val="1F2937"/>
                <w:sz w:val="18"/>
                <w:szCs w:val="18"/>
              </w:rPr>
              <w:t xml:space="preserve">A fixed message node or post-processing step inserts it; the model does not generate it. The rule applies to all three Copilot Studio agents and to D365 Copilot summaries.</w:t>
            </w:r>
          </w:p>
        </w:tc>
        <w:tc>
          <w:tcPr>
            <w:tcW w:type="dxa" w:w="28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val="0"/>
                <w:color w:val="1F2937"/>
                <w:sz w:val="18"/>
                <w:szCs w:val="18"/>
              </w:rPr>
              <w:t xml:space="preserve">Status data can lag between the LOS and Dataverse, so the disclosure sets an accurate expectation. Inserting the text outside the model makes the control fully reliable and auditable, instead of depending on the model to comply.</w:t>
            </w:r>
          </w:p>
        </w:tc>
        <w:tc>
          <w:tcPr>
            <w:tcW w:type="dxa" w:w="2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Owner:</w:t>
            </w:r>
            <w:r>
              <w:rPr>
                <w:rFonts w:ascii="Aptos" w:hAnsi="Aptos" w:cs="Aptos"/>
                <w:b w:val="0"/>
                <w:color w:val="1F2937"/>
                <w:sz w:val="18"/>
                <w:szCs w:val="18"/>
              </w:rPr>
              <w:t xml:space="preserve"> Compliance – Customer Communications, with the Copilot Studio Product Owner.</w:t>
            </w:r>
          </w:p>
          <w:p>
            <w:pPr>
              <w:spacing w:before="0" w:after="0" w:line="252" w:lineRule="auto"/>
            </w:pPr>
            <w:r>
              <w:rPr>
                <w:rFonts w:ascii="Aptos" w:hAnsi="Aptos" w:cs="Aptos"/>
                <w:b/>
                <w:color w:val="1F2937"/>
                <w:sz w:val="18"/>
                <w:szCs w:val="18"/>
              </w:rPr>
              <w:t xml:space="preserve">Evidence:</w:t>
            </w:r>
            <w:r>
              <w:rPr>
                <w:rFonts w:ascii="Aptos" w:hAnsi="Aptos" w:cs="Aptos"/>
                <w:b w:val="0"/>
                <w:color w:val="1F2937"/>
                <w:sz w:val="18"/>
                <w:szCs w:val="18"/>
              </w:rPr>
              <w:t xml:space="preserve"> automated test confirms the disclosure appears in 100% of status responses; monthly transcript sampling.</w:t>
            </w:r>
          </w:p>
        </w:tc>
      </w:tr>
      <w:tr>
        <w:trPr>
          <w:cantSplit/>
        </w:trPr>
        <w:tc>
          <w:tcPr>
            <w:tcW w:type="dxa" w:w="1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40" w:line="252" w:lineRule="auto"/>
            </w:pPr>
            <w:r>
              <w:rPr>
                <w:rFonts w:ascii="Aptos" w:hAnsi="Aptos" w:cs="Aptos"/>
                <w:b w:val="0"/>
                <w:color w:val="64748B"/>
                <w:sz w:val="16"/>
                <w:szCs w:val="16"/>
              </w:rPr>
              <w:t xml:space="preserve">Response behavior constraint 2</w:t>
            </w:r>
          </w:p>
          <w:p>
            <w:pPr>
              <w:spacing w:before="0" w:after="0" w:line="252" w:lineRule="auto"/>
            </w:pPr>
            <w:r>
              <w:rPr>
                <w:rFonts w:ascii="Aptos" w:hAnsi="Aptos" w:cs="Aptos"/>
                <w:b/>
                <w:color w:val="1F2937"/>
                <w:sz w:val="18"/>
                <w:szCs w:val="18"/>
              </w:rPr>
              <w:t xml:space="preserve">Prohibited advice and mandatory escalation</w:t>
            </w:r>
          </w:p>
        </w:tc>
        <w:tc>
          <w:tcPr>
            <w:tcW w:type="dxa" w:w="3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Generative answers draw only on the approved knowledge-article collection, with content moderation set to High. Guardrail topics decline credit approval predictions, legal advice, and adverse-action explanations that go beyond approved article language.</w:t>
            </w:r>
          </w:p>
          <w:p>
            <w:pPr>
              <w:spacing w:before="0" w:after="0" w:line="252" w:lineRule="auto"/>
            </w:pPr>
            <w:r>
              <w:rPr>
                <w:rFonts w:ascii="Aptos" w:hAnsi="Aptos" w:cs="Aptos"/>
                <w:b w:val="0"/>
                <w:color w:val="1F2937"/>
                <w:sz w:val="18"/>
                <w:szCs w:val="18"/>
              </w:rPr>
              <w:t xml:space="preserve">Five escalation triggers (hardship, complaint intent, fraud, identity mismatch, imminent closing deadline) hand the conversation to a human immediately.</w:t>
            </w:r>
          </w:p>
        </w:tc>
        <w:tc>
          <w:tcPr>
            <w:tcW w:type="dxa" w:w="28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val="0"/>
                <w:color w:val="1F2937"/>
                <w:sz w:val="18"/>
                <w:szCs w:val="18"/>
              </w:rPr>
              <w:t xml:space="preserve">These outputs would amount to regulated advice or decisions. Limiting answers to approved articles makes every answer traceable to reviewed language, and rule-based escalation keeps sensitive situations with accountable staff.</w:t>
            </w:r>
          </w:p>
        </w:tc>
        <w:tc>
          <w:tcPr>
            <w:tcW w:type="dxa" w:w="2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Owner:</w:t>
            </w:r>
            <w:r>
              <w:rPr>
                <w:rFonts w:ascii="Aptos" w:hAnsi="Aptos" w:cs="Aptos"/>
                <w:b w:val="0"/>
                <w:color w:val="1F2937"/>
                <w:sz w:val="18"/>
                <w:szCs w:val="18"/>
              </w:rPr>
              <w:t xml:space="preserve"> Compliance, with the Conversational AI Lead.</w:t>
            </w:r>
          </w:p>
          <w:p>
            <w:pPr>
              <w:spacing w:before="0" w:after="0" w:line="252" w:lineRule="auto"/>
            </w:pPr>
            <w:r>
              <w:rPr>
                <w:rFonts w:ascii="Aptos" w:hAnsi="Aptos" w:cs="Aptos"/>
                <w:b/>
                <w:color w:val="1F2937"/>
                <w:sz w:val="18"/>
                <w:szCs w:val="18"/>
              </w:rPr>
              <w:t xml:space="preserve">Evidence:</w:t>
            </w:r>
            <w:r>
              <w:rPr>
                <w:rFonts w:ascii="Aptos" w:hAnsi="Aptos" w:cs="Aptos"/>
                <w:b w:val="0"/>
                <w:color w:val="1F2937"/>
                <w:sz w:val="18"/>
                <w:szCs w:val="18"/>
              </w:rPr>
              <w:t xml:space="preserve"> export of the knowledge-source configuration; test results for prohibited content and for each escalation trigger; records from the knowledge-article approval workflow.</w:t>
            </w:r>
          </w:p>
        </w:tc>
      </w:tr>
      <w:tr>
        <w:trPr>
          <w:cantSplit/>
        </w:trPr>
        <w:tc>
          <w:tcPr>
            <w:tcW w:type="dxa" w:w="1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40" w:line="252" w:lineRule="auto"/>
            </w:pPr>
            <w:r>
              <w:rPr>
                <w:rFonts w:ascii="Aptos" w:hAnsi="Aptos" w:cs="Aptos"/>
                <w:b w:val="0"/>
                <w:color w:val="64748B"/>
                <w:sz w:val="16"/>
                <w:szCs w:val="16"/>
              </w:rPr>
              <w:t xml:space="preserve">Cross-channel routing logic</w:t>
            </w:r>
          </w:p>
          <w:p>
            <w:pPr>
              <w:spacing w:before="0" w:after="0" w:line="252" w:lineRule="auto"/>
            </w:pPr>
            <w:r>
              <w:rPr>
                <w:rFonts w:ascii="Aptos" w:hAnsi="Aptos" w:cs="Aptos"/>
                <w:b/>
                <w:color w:val="1F2937"/>
                <w:sz w:val="18"/>
                <w:szCs w:val="18"/>
              </w:rPr>
              <w:t xml:space="preserve">Hardship-flagged chat about a pending application</w:t>
            </w:r>
          </w:p>
        </w:tc>
        <w:tc>
          <w:tcPr>
            <w:tcW w:type="dxa" w:w="3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Rule:</w:t>
            </w:r>
            <w:r>
              <w:rPr>
                <w:rFonts w:ascii="Aptos" w:hAnsi="Aptos" w:cs="Aptos"/>
                <w:b w:val="0"/>
                <w:color w:val="1F2937"/>
                <w:sz w:val="18"/>
                <w:szCs w:val="18"/>
              </w:rPr>
              <w:t xml:space="preserve"> in the chat workstream, an authenticated customer with a pending application and the hardship flag set (or who triggers any escalation) is sent to the </w:t>
            </w:r>
            <w:r>
              <w:rPr>
                <w:rFonts w:ascii="Aptos" w:hAnsi="Aptos" w:cs="Aptos"/>
                <w:b/>
                <w:color w:val="1F2937"/>
                <w:sz w:val="18"/>
                <w:szCs w:val="18"/>
              </w:rPr>
              <w:t xml:space="preserve">Licensed Servicing Specialist – Hardship</w:t>
            </w:r>
            <w:r>
              <w:rPr>
                <w:rFonts w:ascii="Aptos" w:hAnsi="Aptos" w:cs="Aptos"/>
                <w:b w:val="0"/>
                <w:color w:val="1F2937"/>
                <w:sz w:val="18"/>
                <w:szCs w:val="18"/>
              </w:rPr>
              <w:t xml:space="preserve"> queue at high priority. Required skills: licensed and hardship-trained.</w:t>
            </w:r>
          </w:p>
          <w:p>
            <w:pPr>
              <w:spacing w:before="0" w:after="50" w:line="252" w:lineRule="auto"/>
            </w:pPr>
            <w:r>
              <w:rPr>
                <w:rFonts w:ascii="Aptos" w:hAnsi="Aptos" w:cs="Aptos"/>
                <w:b/>
                <w:color w:val="1F2937"/>
                <w:sz w:val="18"/>
                <w:szCs w:val="18"/>
              </w:rPr>
              <w:t xml:space="preserve">Context carried:</w:t>
            </w:r>
            <w:r>
              <w:rPr>
                <w:rFonts w:ascii="Aptos" w:hAnsi="Aptos" w:cs="Aptos"/>
                <w:b w:val="0"/>
                <w:color w:val="1F2937"/>
                <w:sz w:val="18"/>
                <w:szCs w:val="18"/>
              </w:rPr>
              <w:t xml:space="preserve"> chat transcript, application ID, hardship flag, last authenticated contact channel.</w:t>
            </w:r>
          </w:p>
          <w:p>
            <w:pPr>
              <w:spacing w:before="0" w:after="50" w:line="252" w:lineRule="auto"/>
            </w:pPr>
            <w:r>
              <w:rPr>
                <w:rFonts w:ascii="Aptos" w:hAnsi="Aptos" w:cs="Aptos"/>
                <w:b/>
                <w:color w:val="1F2937"/>
                <w:sz w:val="18"/>
                <w:szCs w:val="18"/>
              </w:rPr>
              <w:t xml:space="preserve">Oversight:</w:t>
            </w:r>
            <w:r>
              <w:rPr>
                <w:rFonts w:ascii="Aptos" w:hAnsi="Aptos" w:cs="Aptos"/>
                <w:b w:val="0"/>
                <w:color w:val="1F2937"/>
                <w:sz w:val="18"/>
                <w:szCs w:val="18"/>
              </w:rPr>
              <w:t xml:space="preserve"> supervisors see the conversation in real-time monitoring. It never overflows to general queues; if no specialist is free within 5 minutes, it goes to a supervisor with a callback offer.</w:t>
            </w:r>
          </w:p>
          <w:p>
            <w:pPr>
              <w:spacing w:before="0" w:after="0" w:line="252" w:lineRule="auto"/>
            </w:pPr>
            <w:r>
              <w:rPr>
                <w:rFonts w:ascii="Aptos" w:hAnsi="Aptos" w:cs="Aptos"/>
                <w:b/>
                <w:color w:val="1F2937"/>
                <w:sz w:val="18"/>
                <w:szCs w:val="18"/>
              </w:rPr>
              <w:t xml:space="preserve">Channel switch:</w:t>
            </w:r>
            <w:r>
              <w:rPr>
                <w:rFonts w:ascii="Aptos" w:hAnsi="Aptos" w:cs="Aptos"/>
                <w:b w:val="0"/>
                <w:color w:val="1F2937"/>
                <w:sz w:val="18"/>
                <w:szCs w:val="18"/>
              </w:rPr>
              <w:t xml:space="preserve"> the application ID and last authenticated channel stay on the conversation record, so a follow-up voice call routes to the same queue.</w:t>
            </w:r>
          </w:p>
        </w:tc>
        <w:tc>
          <w:tcPr>
            <w:tcW w:type="dxa" w:w="28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val="0"/>
                <w:color w:val="1F2937"/>
                <w:sz w:val="18"/>
                <w:szCs w:val="18"/>
              </w:rPr>
              <w:t xml:space="preserve">Hardship customers may be vulnerable and need licensed handling. Carrying the context forward means the customer does not have to repeat sensitive details and the specialist sees the full record. Supervisor visibility adds oversight of the highest-risk path.</w:t>
            </w:r>
          </w:p>
        </w:tc>
        <w:tc>
          <w:tcPr>
            <w:tcW w:type="dxa" w:w="2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Owner:</w:t>
            </w:r>
            <w:r>
              <w:rPr>
                <w:rFonts w:ascii="Aptos" w:hAnsi="Aptos" w:cs="Aptos"/>
                <w:b w:val="0"/>
                <w:color w:val="1F2937"/>
                <w:sz w:val="18"/>
                <w:szCs w:val="18"/>
              </w:rPr>
              <w:t xml:space="preserve"> Contact Center Operations Lead.</w:t>
            </w:r>
          </w:p>
          <w:p>
            <w:pPr>
              <w:spacing w:before="0" w:after="0" w:line="252" w:lineRule="auto"/>
            </w:pPr>
            <w:r>
              <w:rPr>
                <w:rFonts w:ascii="Aptos" w:hAnsi="Aptos" w:cs="Aptos"/>
                <w:b/>
                <w:color w:val="1F2937"/>
                <w:sz w:val="18"/>
                <w:szCs w:val="18"/>
              </w:rPr>
              <w:t xml:space="preserve">Evidence:</w:t>
            </w:r>
            <w:r>
              <w:rPr>
                <w:rFonts w:ascii="Aptos" w:hAnsi="Aptos" w:cs="Aptos"/>
                <w:b w:val="0"/>
                <w:color w:val="1F2937"/>
                <w:sz w:val="18"/>
                <w:szCs w:val="18"/>
              </w:rPr>
              <w:t xml:space="preserve"> routing diagnostics from pre-production test cases (hardship chat, channel switch, specialist unavailable); attestation of queue membership and licensing.</w:t>
            </w:r>
          </w:p>
        </w:tc>
      </w:tr>
    </w:tbl>
    <w:p>
      <w:pPr>
        <w:spacing w:after="40"/>
      </w:pPr>
    </w:p>
    <w:p>
      <w:pPr>
        <w:pStyle w:val="Heading3"/>
        <w:spacing w:after="120"/>
      </w:pPr>
      <w:r>
        <w:rPr>
          <w:rFonts w:ascii="Aptos" w:hAnsi="Aptos"/>
          <w:color w:val="1F2937"/>
          <w:sz w:val="22"/>
        </w:rPr>
        <w:t>WAF Gap Classification Table</w:t>
      </w:r>
    </w:p>
    <w:tbl>
      <w:tblPr>
        <w:tblW w:type="dxa" w:w="10512"/>
        <w:jc w:val="center"/>
        <w:tblLayout w:type="fixed"/>
        <w:tblLook w:firstColumn="1" w:firstRow="1" w:lastColumn="0" w:lastRow="0" w:noHBand="0" w:noVBand="1" w:val="04A0"/>
      </w:tblPr>
      <w:tblGrid>
        <w:gridCol w:w="1700"/>
        <w:gridCol w:w="1350"/>
        <w:gridCol w:w="2300"/>
        <w:gridCol w:w="2862"/>
        <w:gridCol w:w="2300"/>
      </w:tblGrid>
      <w:tr>
        <w:trPr>
          <w:cantSplit/>
          <w:tblHeader/>
        </w:trPr>
        <w:tc>
          <w:tcPr>
            <w:tcW w:type="dxa" w:w="1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Technical Blueprint Gap</w:t>
            </w:r>
          </w:p>
        </w:tc>
        <w:tc>
          <w:tcPr>
            <w:tcW w:type="dxa" w:w="135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WAF Pillar</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Production Risk</w:t>
            </w:r>
          </w:p>
        </w:tc>
        <w:tc>
          <w:tcPr>
            <w:tcW w:type="dxa" w:w="286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Remediation Design</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Consistency Check</w:t>
            </w:r>
          </w:p>
        </w:tc>
      </w:tr>
      <w:tr>
        <w:trPr>
          <w:cantSplit/>
        </w:trPr>
        <w:tc>
          <w:tcPr>
            <w:tcW w:type="dxa" w:w="1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The Power Automate flow that saves AI-drafted follow-up notes to Dataverse uses a </w:t>
            </w:r>
            <w:r>
              <w:rPr>
                <w:rFonts w:ascii="Aptos" w:hAnsi="Aptos" w:cs="Aptos"/>
                <w:b/>
                <w:color w:val="1F2937"/>
                <w:sz w:val="18"/>
                <w:szCs w:val="18"/>
              </w:rPr>
              <w:t xml:space="preserve">broad service-account connection</w:t>
            </w:r>
            <w:r>
              <w:rPr>
                <w:rFonts w:ascii="Aptos" w:hAnsi="Aptos" w:cs="Aptos"/>
                <w:b w:val="0"/>
                <w:color w:val="1F2937"/>
                <w:sz w:val="18"/>
                <w:szCs w:val="18"/>
              </w:rPr>
              <w:t xml:space="preserve"> instead of a least-privilege connection reference.</w:t>
            </w:r>
          </w:p>
          <w:p>
            <w:pPr>
              <w:spacing w:before="0" w:after="0" w:line="252" w:lineRule="auto"/>
            </w:pPr>
            <w:r>
              <w:rPr>
                <w:rFonts w:ascii="Aptos" w:hAnsi="Aptos" w:cs="Aptos"/>
                <w:b w:val="0"/>
                <w:color w:val="1F2937"/>
                <w:sz w:val="18"/>
                <w:szCs w:val="18"/>
              </w:rPr>
              <w:t xml:space="preserve">Chosen as the most critical of the four blueprint gaps (see the triage note below).</w:t>
            </w:r>
          </w:p>
        </w:tc>
        <w:tc>
          <w:tcPr>
            <w:tcW w:type="dxa" w:w="135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Security</w:t>
            </w:r>
            <w:r>
              <w:rPr>
                <w:rFonts w:ascii="Aptos" w:hAnsi="Aptos" w:cs="Aptos"/>
                <w:b w:val="0"/>
                <w:color w:val="1F2937"/>
                <w:sz w:val="18"/>
                <w:szCs w:val="18"/>
              </w:rPr>
              <w:t xml:space="preserve"> (primary): least-privilege identity and access.</w:t>
            </w:r>
          </w:p>
          <w:p>
            <w:pPr>
              <w:spacing w:before="0" w:after="0" w:line="252" w:lineRule="auto"/>
            </w:pPr>
            <w:r>
              <w:rPr>
                <w:rFonts w:ascii="Aptos" w:hAnsi="Aptos" w:cs="Aptos"/>
                <w:b/>
                <w:color w:val="1F2937"/>
                <w:sz w:val="18"/>
                <w:szCs w:val="18"/>
              </w:rPr>
              <w:t xml:space="preserve">Operational Excellence</w:t>
            </w:r>
            <w:r>
              <w:rPr>
                <w:rFonts w:ascii="Aptos" w:hAnsi="Aptos" w:cs="Aptos"/>
                <w:b w:val="0"/>
                <w:color w:val="1F2937"/>
                <w:sz w:val="18"/>
                <w:szCs w:val="18"/>
              </w:rPr>
              <w:t xml:space="preserve"> (secondary): the connection is not part of the solution, so it falls outside managed ALM.</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Rating: High, blocks launch.</w:t>
            </w:r>
          </w:p>
          <w:p>
            <w:pPr>
              <w:numPr>
                <w:ilvl w:val="0"/>
                <w:numId w:val="10"/>
              </w:numPr>
              <w:spacing w:before="0" w:after="30" w:line="252" w:lineRule="auto"/>
            </w:pPr>
            <w:r>
              <w:rPr>
                <w:rFonts w:ascii="Aptos" w:hAnsi="Aptos" w:cs="Aptos"/>
                <w:b/>
                <w:color w:val="1F2937"/>
                <w:sz w:val="18"/>
                <w:szCs w:val="18"/>
              </w:rPr>
              <w:t xml:space="preserve">Blast radius:</w:t>
            </w:r>
            <w:r>
              <w:rPr>
                <w:rFonts w:ascii="Aptos" w:hAnsi="Aptos" w:cs="Aptos"/>
                <w:b w:val="0"/>
                <w:color w:val="1F2937"/>
                <w:sz w:val="18"/>
                <w:szCs w:val="18"/>
              </w:rPr>
              <w:t xml:space="preserve"> the account can write more than notes, including status, hardship and reason-code records. A flow defect or leaked credential could change regulated records at scale.</w:t>
            </w:r>
          </w:p>
          <w:p>
            <w:pPr>
              <w:numPr>
                <w:ilvl w:val="0"/>
                <w:numId w:val="10"/>
              </w:numPr>
              <w:spacing w:before="0" w:after="30" w:line="252" w:lineRule="auto"/>
            </w:pPr>
            <w:r>
              <w:rPr>
                <w:rFonts w:ascii="Aptos" w:hAnsi="Aptos" w:cs="Aptos"/>
                <w:b/>
                <w:color w:val="1F2937"/>
                <w:sz w:val="18"/>
                <w:szCs w:val="18"/>
              </w:rPr>
              <w:t xml:space="preserve">Accountability:</w:t>
            </w:r>
            <w:r>
              <w:rPr>
                <w:rFonts w:ascii="Aptos" w:hAnsi="Aptos" w:cs="Aptos"/>
                <w:b w:val="0"/>
                <w:color w:val="1F2937"/>
                <w:sz w:val="18"/>
                <w:szCs w:val="18"/>
              </w:rPr>
              <w:t xml:space="preserve"> every AI note is logged against the service account, not the associate who confirmed it, so the audit trail cannot prove a person reviewed the AI content.</w:t>
            </w:r>
          </w:p>
          <w:p>
            <w:pPr>
              <w:numPr>
                <w:ilvl w:val="0"/>
                <w:numId w:val="10"/>
              </w:numPr>
              <w:spacing w:before="0" w:after="0" w:line="252" w:lineRule="auto"/>
            </w:pPr>
            <w:r>
              <w:rPr>
                <w:rFonts w:ascii="Aptos" w:hAnsi="Aptos" w:cs="Aptos"/>
                <w:b/>
                <w:color w:val="1F2937"/>
                <w:sz w:val="18"/>
                <w:szCs w:val="18"/>
              </w:rPr>
              <w:t xml:space="preserve">Configuration drift:</w:t>
            </w:r>
            <w:r>
              <w:rPr>
                <w:rFonts w:ascii="Aptos" w:hAnsi="Aptos" w:cs="Aptos"/>
                <w:b w:val="0"/>
                <w:color w:val="1F2937"/>
                <w:sz w:val="18"/>
                <w:szCs w:val="18"/>
              </w:rPr>
              <w:t xml:space="preserve"> the production connection is set up outside the managed solution, so the pipeline cannot validate it and a rollback cannot restore it.</w:t>
            </w:r>
          </w:p>
        </w:tc>
        <w:tc>
          <w:tcPr>
            <w:tcW w:type="dxa" w:w="286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numPr>
                <w:ilvl w:val="0"/>
                <w:numId w:val="10"/>
              </w:numPr>
              <w:spacing w:before="0" w:after="30" w:line="252" w:lineRule="auto"/>
            </w:pPr>
            <w:r>
              <w:rPr>
                <w:rFonts w:ascii="Aptos" w:hAnsi="Aptos" w:cs="Aptos"/>
                <w:b w:val="0"/>
                <w:color w:val="1F2937"/>
                <w:sz w:val="18"/>
                <w:szCs w:val="18"/>
              </w:rPr>
              <w:t xml:space="preserve">Replace it with a Dataverse connection reference inside the servicing managed solution, bound to each environment through the pipeline’s deployment settings file.</w:t>
            </w:r>
          </w:p>
          <w:p>
            <w:pPr>
              <w:numPr>
                <w:ilvl w:val="0"/>
                <w:numId w:val="10"/>
              </w:numPr>
              <w:spacing w:before="0" w:after="30" w:line="252" w:lineRule="auto"/>
            </w:pPr>
            <w:r>
              <w:rPr>
                <w:rFonts w:ascii="Aptos" w:hAnsi="Aptos" w:cs="Aptos"/>
                <w:b w:val="0"/>
                <w:color w:val="1F2937"/>
                <w:sz w:val="18"/>
                <w:szCs w:val="18"/>
              </w:rPr>
              <w:t xml:space="preserve">Run the write under the </w:t>
            </w:r>
            <w:r>
              <w:rPr>
                <w:rFonts w:ascii="Aptos" w:hAnsi="Aptos" w:cs="Aptos"/>
                <w:b/>
                <w:color w:val="1F2937"/>
                <w:sz w:val="18"/>
                <w:szCs w:val="18"/>
              </w:rPr>
              <w:t xml:space="preserve">confirming user’s own connection</w:t>
            </w:r>
            <w:r>
              <w:rPr>
                <w:rFonts w:ascii="Aptos" w:hAnsi="Aptos" w:cs="Aptos"/>
                <w:b w:val="0"/>
                <w:color w:val="1F2937"/>
                <w:sz w:val="18"/>
                <w:szCs w:val="18"/>
              </w:rPr>
              <w:t xml:space="preserve">, so the associate’s security role applies and the audit log names them.</w:t>
            </w:r>
          </w:p>
          <w:p>
            <w:pPr>
              <w:numPr>
                <w:ilvl w:val="0"/>
                <w:numId w:val="10"/>
              </w:numPr>
              <w:spacing w:before="0" w:after="30" w:line="252" w:lineRule="auto"/>
            </w:pPr>
            <w:r>
              <w:rPr>
                <w:rFonts w:ascii="Aptos" w:hAnsi="Aptos" w:cs="Aptos"/>
                <w:b w:val="0"/>
                <w:color w:val="1F2937"/>
                <w:sz w:val="18"/>
                <w:szCs w:val="18"/>
              </w:rPr>
              <w:t xml:space="preserve">A custom security role allows creating Notes and Activities only. Field-level security protects the hardship, reason-code and status columns.</w:t>
            </w:r>
          </w:p>
          <w:p>
            <w:pPr>
              <w:numPr>
                <w:ilvl w:val="0"/>
                <w:numId w:val="10"/>
              </w:numPr>
              <w:spacing w:before="0" w:after="30" w:line="252" w:lineRule="auto"/>
            </w:pPr>
            <w:r>
              <w:rPr>
                <w:rFonts w:ascii="Aptos" w:hAnsi="Aptos" w:cs="Aptos"/>
                <w:b w:val="0"/>
                <w:color w:val="1F2937"/>
                <w:sz w:val="18"/>
                <w:szCs w:val="18"/>
              </w:rPr>
              <w:t xml:space="preserve">Each note records where it came from: an AI-generated flag, the prompt template version, the confirming user and a timestamp.</w:t>
            </w:r>
          </w:p>
          <w:p>
            <w:pPr>
              <w:numPr>
                <w:ilvl w:val="0"/>
                <w:numId w:val="10"/>
              </w:numPr>
              <w:spacing w:before="0" w:after="0" w:line="252" w:lineRule="auto"/>
            </w:pPr>
            <w:r>
              <w:rPr>
                <w:rFonts w:ascii="Aptos" w:hAnsi="Aptos" w:cs="Aptos"/>
                <w:b w:val="0"/>
                <w:color w:val="1F2937"/>
                <w:sz w:val="18"/>
                <w:szCs w:val="18"/>
              </w:rPr>
              <w:t xml:space="preserve">A data loss prevention (DLP) policy blocks the old service-account connection in production. No credentials are stored in environment variables.</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Checked against Sections 2 and 4; the fix introduces no new inconsistency:</w:t>
            </w:r>
          </w:p>
          <w:p>
            <w:pPr>
              <w:numPr>
                <w:ilvl w:val="0"/>
                <w:numId w:val="10"/>
              </w:numPr>
              <w:spacing w:before="0" w:after="30" w:line="252" w:lineRule="auto"/>
            </w:pPr>
            <w:r>
              <w:rPr>
                <w:rFonts w:ascii="Aptos" w:hAnsi="Aptos" w:cs="Aptos"/>
                <w:b w:val="0"/>
                <w:color w:val="1F2937"/>
                <w:sz w:val="18"/>
                <w:szCs w:val="18"/>
              </w:rPr>
              <w:t xml:space="preserve">It uses the connection-reference control that Copilot Studio already requires for Dataverse.</w:t>
            </w:r>
          </w:p>
          <w:p>
            <w:pPr>
              <w:numPr>
                <w:ilvl w:val="0"/>
                <w:numId w:val="10"/>
              </w:numPr>
              <w:spacing w:before="0" w:after="30" w:line="252" w:lineRule="auto"/>
            </w:pPr>
            <w:r>
              <w:rPr>
                <w:rFonts w:ascii="Aptos" w:hAnsi="Aptos" w:cs="Aptos"/>
                <w:b w:val="0"/>
                <w:color w:val="1F2937"/>
                <w:sz w:val="18"/>
                <w:szCs w:val="18"/>
              </w:rPr>
              <w:t xml:space="preserve">It moves no secrets into environment variables, which would break the Copilot Studio secrets rule.</w:t>
            </w:r>
          </w:p>
          <w:p>
            <w:pPr>
              <w:numPr>
                <w:ilvl w:val="0"/>
                <w:numId w:val="10"/>
              </w:numPr>
              <w:spacing w:before="0" w:after="30" w:line="252" w:lineRule="auto"/>
            </w:pPr>
            <w:r>
              <w:rPr>
                <w:rFonts w:ascii="Aptos" w:hAnsi="Aptos" w:cs="Aptos"/>
                <w:b w:val="0"/>
                <w:color w:val="1F2937"/>
                <w:sz w:val="18"/>
                <w:szCs w:val="18"/>
              </w:rPr>
              <w:t xml:space="preserve">The connection reference is checked in rollback step 4 and in the security regression tests the CAB requires.</w:t>
            </w:r>
          </w:p>
          <w:p>
            <w:pPr>
              <w:numPr>
                <w:ilvl w:val="0"/>
                <w:numId w:val="10"/>
              </w:numPr>
              <w:spacing w:before="0" w:after="0" w:line="252" w:lineRule="auto"/>
            </w:pPr>
            <w:r>
              <w:rPr>
                <w:rFonts w:ascii="Aptos" w:hAnsi="Aptos" w:cs="Aptos"/>
                <w:b w:val="0"/>
                <w:color w:val="1F2937"/>
                <w:sz w:val="18"/>
                <w:szCs w:val="18"/>
              </w:rPr>
              <w:t xml:space="preserve">After the field-level security change, the D365 hardship routing path was retested to confirm the specialist queue still receives the flag.</w:t>
            </w:r>
          </w:p>
        </w:tc>
      </w:tr>
    </w:tbl>
    <w:p>
      <w:pPr>
        <w:spacing w:before="100" w:after="0" w:line="252" w:lineRule="auto"/>
      </w:pPr>
      <w:r>
        <w:rPr>
          <w:rFonts w:ascii="Aptos" w:hAnsi="Aptos" w:cs="Aptos"/>
          <w:b/>
          <w:color w:val="475569"/>
          <w:sz w:val="17"/>
          <w:szCs w:val="17"/>
        </w:rPr>
        <w:t xml:space="preserve">Gap triage.</w:t>
      </w:r>
      <w:r>
        <w:rPr>
          <w:rFonts w:ascii="Aptos" w:hAnsi="Aptos" w:cs="Aptos"/>
          <w:b w:val="0"/>
          <w:color w:val="475569"/>
          <w:sz w:val="17"/>
          <w:szCs w:val="17"/>
        </w:rPr>
        <w:t xml:space="preserve"> The other three blueprint gaps are also pre-launch actions. They rank lower because none of them writes to the system of record. </w:t>
      </w:r>
      <w:r>
        <w:rPr>
          <w:rFonts w:ascii="Aptos" w:hAnsi="Aptos" w:cs="Aptos"/>
          <w:b/>
          <w:color w:val="475569"/>
          <w:sz w:val="17"/>
          <w:szCs w:val="17"/>
        </w:rPr>
        <w:t xml:space="preserve">Customer Summary AI card sends unnecessary fields</w:t>
      </w:r>
      <w:r>
        <w:rPr>
          <w:rFonts w:ascii="Aptos" w:hAnsi="Aptos" w:cs="Aptos"/>
          <w:b w:val="0"/>
          <w:color w:val="475569"/>
          <w:sz w:val="17"/>
          <w:szCs w:val="17"/>
        </w:rPr>
        <w:t xml:space="preserve"> (Security, data minimization): limit the prompt input to approved fields and remove internal servicing comments. </w:t>
      </w:r>
      <w:r>
        <w:rPr>
          <w:rFonts w:ascii="Aptos" w:hAnsi="Aptos" w:cs="Aptos"/>
          <w:b/>
          <w:color w:val="475569"/>
          <w:sz w:val="17"/>
          <w:szCs w:val="17"/>
        </w:rPr>
        <w:t xml:space="preserve">Classifier output not logged with model version</w:t>
      </w:r>
      <w:r>
        <w:rPr>
          <w:rFonts w:ascii="Aptos" w:hAnsi="Aptos" w:cs="Aptos"/>
          <w:b w:val="0"/>
          <w:color w:val="475569"/>
          <w:sz w:val="17"/>
          <w:szCs w:val="17"/>
        </w:rPr>
        <w:t xml:space="preserve"> (Operational Excellence, traceability): resolved in Section 4, check 3. </w:t>
      </w:r>
      <w:r>
        <w:rPr>
          <w:rFonts w:ascii="Aptos" w:hAnsi="Aptos" w:cs="Aptos"/>
          <w:b/>
          <w:color w:val="475569"/>
          <w:sz w:val="17"/>
          <w:szCs w:val="17"/>
        </w:rPr>
        <w:t xml:space="preserve">No maker guidance when content checks fail</w:t>
      </w:r>
      <w:r>
        <w:rPr>
          <w:rFonts w:ascii="Aptos" w:hAnsi="Aptos" w:cs="Aptos"/>
          <w:b w:val="0"/>
          <w:color w:val="475569"/>
          <w:sz w:val="17"/>
          <w:szCs w:val="17"/>
        </w:rPr>
        <w:t xml:space="preserve"> (Operational Excellence): add a clear failure message and a maker runbook. The content block already fails safe.</w:t>
      </w:r>
    </w:p>
    <w:p>
      <w:pPr>
        <w:spacing w:after="40"/>
      </w:pPr>
    </w:p>
    <w:p>
      <w:pPr>
        <w:pStyle w:val="Heading3"/>
        <w:spacing w:after="120"/>
      </w:pPr>
      <w:r>
        <w:rPr>
          <w:rFonts w:ascii="Aptos" w:hAnsi="Aptos"/>
          <w:color w:val="1F2937"/>
          <w:sz w:val="22"/>
        </w:rPr>
        <w:t>Analytical Content (150-250 words)</w:t>
      </w:r>
    </w:p>
    <w:tbl>
      <w:tblPr>
        <w:tblW w:type="dxa" w:w="10512"/>
        <w:jc w:val="center"/>
        <w:tblLayout w:type="fixed"/>
        <w:tblLook w:firstColumn="1" w:firstRow="1" w:lastColumn="0" w:lastRow="0" w:noHBand="0" w:noVBand="1" w:val="04A0"/>
      </w:tblPr>
      <w:tblGrid>
        <w:gridCol w:w="10512"/>
      </w:tblGrid>
      <w:tr>
        <w:tc>
          <w:tcPr>
            <w:tcW w:type="dxa" w:w="105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FCFCFD"/>
            <w:tcMar>
              <w:top w:w="120" w:type="dxa"/>
              <w:left w:w="160" w:type="dxa"/>
              <w:bottom w:w="120" w:type="dxa"/>
              <w:right w:w="160" w:type="dxa"/>
            </w:tcMar>
          </w:tcPr>
          <w:p>
            <w:pPr>
              <w:spacing w:before="0" w:after="140" w:line="264" w:lineRule="auto"/>
            </w:pPr>
            <w:r>
              <w:rPr>
                <w:rFonts w:ascii="Aptos" w:hAnsi="Aptos" w:cs="Aptos"/>
                <w:b w:val="0"/>
                <w:color w:val="1F2937"/>
                <w:sz w:val="20"/>
                <w:szCs w:val="20"/>
              </w:rPr>
              <w:t xml:space="preserve">Every configuration decision above follows one principle: in lending, the words an AI uses about an application are part of the regulated customer outcome. Status values, reason codes and the loan-status disclosure are therefore rendered directly from the system of record rather than generated, so the AI can never soften, harden or reinterpret a credit position. The hardship flag is treated differently: the AI may see it, but only to route. That lets the platform recognize a potentially vulnerable customer immediately while leaving every eligibility judgment with licensed staff. The routing design applies the same logic to the highest-risk path, carrying chat context, application ID, hardship flag and last authenticated channel into a licensed specialist queue under supervisor visibility, with no overflow to unlicensed queues.</w:t>
            </w:r>
          </w:p>
          <w:p>
            <w:pPr>
              <w:spacing w:before="0" w:after="0" w:line="264" w:lineRule="auto"/>
            </w:pPr>
            <w:r>
              <w:rPr>
                <w:rFonts w:ascii="Aptos" w:hAnsi="Aptos" w:cs="Aptos"/>
                <w:b w:val="0"/>
                <w:color w:val="1F2937"/>
                <w:sz w:val="20"/>
                <w:szCs w:val="20"/>
              </w:rPr>
              <w:t xml:space="preserve">The WAF remediation targets the note-submission flow because it is the only blueprint gap that writes to the system of record. A broad service account can alter regulated fields. Just as seriously, it erases evidence of who approved each AI-generated note, and that human approval is the control the drafting feature depends on. Running the write under the confirming associate’s own connection reference restores attribution and narrows privilege to notes. Before accepting the fix, we tested it against the rest of the architecture. It reuses the connection-reference pattern Copilot Studio already mandates, keeps secrets out of environment variables, is restored and validated by the rollback procedure, and still lets D365 routing see the hardship flag.</w:t>
            </w:r>
          </w:p>
        </w:tc>
      </w:tr>
    </w:tbl>
    <w:p>
      <w:pPr>
        <w:spacing w:after="80"/>
      </w:pPr>
    </w:p>
    <w:p>
      <w:pPr>
        <w:pStyle w:val="Heading2"/>
        <w:spacing w:after="120"/>
        <w:pBdr>
          <w:bottom w:val="single" w:sz="6" w:space="4" w:color="CBD5E1"/>
        </w:pBdr>
      </w:pPr>
      <w:r>
        <w:rPr>
          <w:rFonts w:ascii="Aptos" w:hAnsi="Aptos"/>
          <w:color w:val="1F2937"/>
          <w:sz w:val="28"/>
        </w:rPr>
        <w:t>2. Copilot Studio ALM Pipeline Summary</w:t>
      </w:r>
    </w:p>
    <w:p>
      <w:pPr>
        <w:pStyle w:val="Heading3"/>
        <w:spacing w:after="120"/>
      </w:pPr>
      <w:r>
        <w:rPr>
          <w:rFonts w:ascii="Aptos" w:hAnsi="Aptos"/>
          <w:color w:val="1F2937"/>
          <w:sz w:val="22"/>
        </w:rPr>
        <w:t>Approval Gate Specification Table</w:t>
      </w:r>
    </w:p>
    <w:tbl>
      <w:tblPr>
        <w:tblW w:type="dxa" w:w="10512"/>
        <w:jc w:val="center"/>
        <w:tblLayout w:type="fixed"/>
        <w:tblLook w:firstColumn="1" w:firstRow="1" w:lastColumn="0" w:lastRow="0" w:noHBand="0" w:noVBand="1" w:val="04A0"/>
      </w:tblPr>
      <w:tblGrid>
        <w:gridCol w:w="1550"/>
        <w:gridCol w:w="1950"/>
        <w:gridCol w:w="2862"/>
        <w:gridCol w:w="2200"/>
        <w:gridCol w:w="1950"/>
      </w:tblGrid>
      <w:tr>
        <w:trPr>
          <w:cantSplit/>
          <w:tblHeader/>
        </w:trPr>
        <w:tc>
          <w:tcPr>
            <w:tcW w:type="dxa" w:w="155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Approval Gate</w:t>
            </w:r>
          </w:p>
        </w:tc>
        <w:tc>
          <w:tcPr>
            <w:tcW w:type="dxa" w:w="195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Approval Authority</w:t>
            </w:r>
          </w:p>
        </w:tc>
        <w:tc>
          <w:tcPr>
            <w:tcW w:type="dxa" w:w="286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Validation Prerequisites</w:t>
            </w:r>
          </w:p>
        </w:tc>
        <w:tc>
          <w:tcPr>
            <w:tcW w:type="dxa" w:w="22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CAB Rationale</w:t>
            </w:r>
          </w:p>
        </w:tc>
        <w:tc>
          <w:tcPr>
            <w:tcW w:type="dxa" w:w="195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SLA for Decision</w:t>
            </w:r>
          </w:p>
        </w:tc>
      </w:tr>
      <w:tr>
        <w:trPr>
          <w:cantSplit/>
        </w:trPr>
        <w:tc>
          <w:tcPr>
            <w:tcW w:type="dxa" w:w="155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Production deployment approval</w:t>
            </w:r>
          </w:p>
          <w:p>
            <w:pPr>
              <w:spacing w:before="0" w:after="0" w:line="252" w:lineRule="auto"/>
            </w:pPr>
            <w:r>
              <w:rPr>
                <w:rFonts w:ascii="Aptos" w:hAnsi="Aptos" w:cs="Aptos"/>
                <w:b w:val="0"/>
                <w:color w:val="64748B"/>
                <w:sz w:val="18"/>
                <w:szCs w:val="18"/>
              </w:rPr>
              <w:t xml:space="preserve">Pre-production → Production</w:t>
            </w:r>
          </w:p>
        </w:tc>
        <w:tc>
          <w:tcPr>
            <w:tcW w:type="dxa" w:w="195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Change Advisory Board (CAB)</w:t>
            </w:r>
            <w:r>
              <w:rPr>
                <w:rFonts w:ascii="Aptos" w:hAnsi="Aptos" w:cs="Aptos"/>
                <w:b w:val="0"/>
                <w:color w:val="1F2937"/>
                <w:sz w:val="18"/>
                <w:szCs w:val="18"/>
              </w:rPr>
              <w:t xml:space="preserve">, chaired by the IT Change Manager, with required sign-off from:</w:t>
            </w:r>
          </w:p>
          <w:p>
            <w:pPr>
              <w:numPr>
                <w:ilvl w:val="0"/>
                <w:numId w:val="10"/>
              </w:numPr>
              <w:spacing w:before="0" w:after="30" w:line="252" w:lineRule="auto"/>
            </w:pPr>
            <w:r>
              <w:rPr>
                <w:rFonts w:ascii="Aptos" w:hAnsi="Aptos" w:cs="Aptos"/>
                <w:b w:val="0"/>
                <w:color w:val="1F2937"/>
                <w:sz w:val="18"/>
                <w:szCs w:val="18"/>
              </w:rPr>
              <w:t xml:space="preserve">Platform Product Owner (accountable for the release)</w:t>
            </w:r>
          </w:p>
          <w:p>
            <w:pPr>
              <w:numPr>
                <w:ilvl w:val="0"/>
                <w:numId w:val="10"/>
              </w:numPr>
              <w:spacing w:before="0" w:after="30" w:line="252" w:lineRule="auto"/>
            </w:pPr>
            <w:r>
              <w:rPr>
                <w:rFonts w:ascii="Aptos" w:hAnsi="Aptos" w:cs="Aptos"/>
                <w:b w:val="0"/>
                <w:color w:val="1F2937"/>
                <w:sz w:val="18"/>
                <w:szCs w:val="18"/>
              </w:rPr>
              <w:t xml:space="preserve">Information Security</w:t>
            </w:r>
          </w:p>
          <w:p>
            <w:pPr>
              <w:numPr>
                <w:ilvl w:val="0"/>
                <w:numId w:val="10"/>
              </w:numPr>
              <w:spacing w:before="0" w:after="30" w:line="252" w:lineRule="auto"/>
            </w:pPr>
            <w:r>
              <w:rPr>
                <w:rFonts w:ascii="Aptos" w:hAnsi="Aptos" w:cs="Aptos"/>
                <w:b w:val="0"/>
                <w:color w:val="1F2937"/>
                <w:sz w:val="18"/>
                <w:szCs w:val="18"/>
              </w:rPr>
              <w:t xml:space="preserve">Compliance – Customer Communications (any change to prompts, topics or knowledge scope)</w:t>
            </w:r>
          </w:p>
          <w:p>
            <w:pPr>
              <w:numPr>
                <w:ilvl w:val="0"/>
                <w:numId w:val="10"/>
              </w:numPr>
              <w:spacing w:before="0" w:after="30" w:line="252" w:lineRule="auto"/>
            </w:pPr>
            <w:r>
              <w:rPr>
                <w:rFonts w:ascii="Aptos" w:hAnsi="Aptos" w:cs="Aptos"/>
                <w:b w:val="0"/>
                <w:color w:val="1F2937"/>
                <w:sz w:val="18"/>
                <w:szCs w:val="18"/>
              </w:rPr>
              <w:t xml:space="preserve">Model Risk Management (any change to a prompt or to the pinned Foundry model version)</w:t>
            </w:r>
          </w:p>
          <w:p>
            <w:pPr>
              <w:numPr>
                <w:ilvl w:val="0"/>
                <w:numId w:val="10"/>
              </w:numPr>
              <w:spacing w:before="0" w:after="30" w:line="252" w:lineRule="auto"/>
            </w:pPr>
            <w:r>
              <w:rPr>
                <w:rFonts w:ascii="Aptos" w:hAnsi="Aptos" w:cs="Aptos"/>
                <w:b w:val="0"/>
                <w:color w:val="1F2937"/>
                <w:sz w:val="18"/>
                <w:szCs w:val="18"/>
              </w:rPr>
              <w:t xml:space="preserve">Head of Loan Servicing (business owner)</w:t>
            </w:r>
          </w:p>
          <w:p>
            <w:pPr>
              <w:spacing w:before="0" w:after="0" w:line="252" w:lineRule="auto"/>
            </w:pPr>
            <w:r>
              <w:rPr>
                <w:rFonts w:ascii="Aptos" w:hAnsi="Aptos" w:cs="Aptos"/>
                <w:b w:val="0"/>
                <w:color w:val="1F2937"/>
                <w:sz w:val="18"/>
                <w:szCs w:val="18"/>
              </w:rPr>
              <w:t xml:space="preserve">No approver may have authored the change.</w:t>
            </w:r>
          </w:p>
        </w:tc>
        <w:tc>
          <w:tcPr>
            <w:tcW w:type="dxa" w:w="286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All evidence must be attached to the change record before the change goes on the agenda:</w:t>
            </w:r>
          </w:p>
          <w:p>
            <w:pPr>
              <w:numPr>
                <w:ilvl w:val="0"/>
                <w:numId w:val="10"/>
              </w:numPr>
              <w:spacing w:before="0" w:after="30" w:line="252" w:lineRule="auto"/>
            </w:pPr>
            <w:r>
              <w:rPr>
                <w:rFonts w:ascii="Aptos" w:hAnsi="Aptos" w:cs="Aptos"/>
                <w:b/>
                <w:color w:val="1F2937"/>
                <w:sz w:val="18"/>
                <w:szCs w:val="18"/>
              </w:rPr>
              <w:t xml:space="preserve">Security regression:</w:t>
            </w:r>
            <w:r>
              <w:rPr>
                <w:rFonts w:ascii="Aptos" w:hAnsi="Aptos" w:cs="Aptos"/>
                <w:b w:val="0"/>
                <w:color w:val="1F2937"/>
                <w:sz w:val="18"/>
                <w:szCs w:val="18"/>
              </w:rPr>
              <w:t xml:space="preserve"> Solution Checker shows no critical or high findings; connection references are bound to approved least-privilege identities; no secrets in environment variables; DLP policy checked.</w:t>
            </w:r>
          </w:p>
          <w:p>
            <w:pPr>
              <w:numPr>
                <w:ilvl w:val="0"/>
                <w:numId w:val="10"/>
              </w:numPr>
              <w:spacing w:before="0" w:after="30" w:line="252" w:lineRule="auto"/>
            </w:pPr>
            <w:r>
              <w:rPr>
                <w:rFonts w:ascii="Aptos" w:hAnsi="Aptos" w:cs="Aptos"/>
                <w:b/>
                <w:color w:val="1F2937"/>
                <w:sz w:val="18"/>
                <w:szCs w:val="18"/>
              </w:rPr>
              <w:t xml:space="preserve">Prompt-safety checks:</w:t>
            </w:r>
            <w:r>
              <w:rPr>
                <w:rFonts w:ascii="Aptos" w:hAnsi="Aptos" w:cs="Aptos"/>
                <w:b w:val="0"/>
                <w:color w:val="1F2937"/>
                <w:sz w:val="18"/>
                <w:szCs w:val="18"/>
              </w:rPr>
              <w:t xml:space="preserve"> red-team pack passes 100%, covering no approval predictions, no hardship eligibility statements, reason codes shown exactly as recorded, disclosure present, and all five escalation triggers firing.</w:t>
            </w:r>
          </w:p>
          <w:p>
            <w:pPr>
              <w:numPr>
                <w:ilvl w:val="0"/>
                <w:numId w:val="10"/>
              </w:numPr>
              <w:spacing w:before="0" w:after="30" w:line="252" w:lineRule="auto"/>
            </w:pPr>
            <w:r>
              <w:rPr>
                <w:rFonts w:ascii="Aptos" w:hAnsi="Aptos" w:cs="Aptos"/>
                <w:b/>
                <w:color w:val="1F2937"/>
                <w:sz w:val="18"/>
                <w:szCs w:val="18"/>
              </w:rPr>
              <w:t xml:space="preserve">Integration test evidence</w:t>
            </w:r>
            <w:r>
              <w:rPr>
                <w:rFonts w:ascii="Aptos" w:hAnsi="Aptos" w:cs="Aptos"/>
                <w:b w:val="0"/>
                <w:color w:val="1F2937"/>
                <w:sz w:val="18"/>
                <w:szCs w:val="18"/>
              </w:rPr>
              <w:t xml:space="preserve"> from pre-production: Dataverse, D365 hardship routing, LOS status API, SharePoint policy library, escalation queue IDs.</w:t>
            </w:r>
          </w:p>
          <w:p>
            <w:pPr>
              <w:numPr>
                <w:ilvl w:val="0"/>
                <w:numId w:val="10"/>
              </w:numPr>
              <w:spacing w:before="0" w:after="30" w:line="252" w:lineRule="auto"/>
            </w:pPr>
            <w:r>
              <w:rPr>
                <w:rFonts w:ascii="Aptos" w:hAnsi="Aptos" w:cs="Aptos"/>
                <w:b/>
                <w:color w:val="1F2937"/>
                <w:sz w:val="18"/>
                <w:szCs w:val="18"/>
              </w:rPr>
              <w:t xml:space="preserve">Rollback readiness:</w:t>
            </w:r>
            <w:r>
              <w:rPr>
                <w:rFonts w:ascii="Aptos" w:hAnsi="Aptos" w:cs="Aptos"/>
                <w:b w:val="0"/>
                <w:color w:val="1F2937"/>
                <w:sz w:val="18"/>
                <w:szCs w:val="18"/>
              </w:rPr>
              <w:t xml:space="preserve"> the previous approved (N-1) solution and the environment-variable snapshot are confirmed restorable.</w:t>
            </w:r>
          </w:p>
          <w:p>
            <w:pPr>
              <w:numPr>
                <w:ilvl w:val="0"/>
                <w:numId w:val="10"/>
              </w:numPr>
              <w:spacing w:before="0" w:after="0" w:line="252" w:lineRule="auto"/>
            </w:pPr>
            <w:r>
              <w:rPr>
                <w:rFonts w:ascii="Aptos" w:hAnsi="Aptos" w:cs="Aptos"/>
                <w:b/>
                <w:color w:val="1F2937"/>
                <w:sz w:val="18"/>
                <w:szCs w:val="18"/>
              </w:rPr>
              <w:t xml:space="preserve">Release manifest</w:t>
            </w:r>
            <w:r>
              <w:rPr>
                <w:rFonts w:ascii="Aptos" w:hAnsi="Aptos" w:cs="Aptos"/>
                <w:b w:val="0"/>
                <w:color w:val="1F2937"/>
                <w:sz w:val="18"/>
                <w:szCs w:val="18"/>
              </w:rPr>
              <w:t xml:space="preserve"> listing the versions of each solution, prompt, knowledge collection and Foundry model.</w:t>
            </w:r>
          </w:p>
        </w:tc>
        <w:tc>
          <w:tcPr>
            <w:tcW w:type="dxa" w:w="22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A Copilot Studio release changes what customers are told about their credit applications and where they are routed. That makes it a conduct-risk change, not a routine IT change.</w:t>
            </w:r>
          </w:p>
          <w:p>
            <w:pPr>
              <w:spacing w:before="0" w:after="0" w:line="252" w:lineRule="auto"/>
            </w:pPr>
            <w:r>
              <w:rPr>
                <w:rFonts w:ascii="Aptos" w:hAnsi="Aptos" w:cs="Aptos"/>
                <w:b w:val="0"/>
                <w:color w:val="1F2937"/>
                <w:sz w:val="18"/>
                <w:szCs w:val="18"/>
              </w:rPr>
              <w:t xml:space="preserve">The CAB provides independent challenge from security, compliance and model risk. It separates the people who build a change from the people who approve it, and it keeps a lasting record linking each production version to its evidence. That is the audit trail a regulator or internal audit will ask for after a customer complaint.</w:t>
            </w:r>
          </w:p>
        </w:tc>
        <w:tc>
          <w:tcPr>
            <w:tcW w:type="dxa" w:w="195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numPr>
                <w:ilvl w:val="0"/>
                <w:numId w:val="10"/>
              </w:numPr>
              <w:spacing w:before="0" w:after="30" w:line="252" w:lineRule="auto"/>
            </w:pPr>
            <w:r>
              <w:rPr>
                <w:rFonts w:ascii="Aptos" w:hAnsi="Aptos" w:cs="Aptos"/>
                <w:b/>
                <w:color w:val="1F2937"/>
                <w:sz w:val="18"/>
                <w:szCs w:val="18"/>
              </w:rPr>
              <w:t xml:space="preserve">Standard release:</w:t>
            </w:r>
            <w:r>
              <w:rPr>
                <w:rFonts w:ascii="Aptos" w:hAnsi="Aptos" w:cs="Aptos"/>
                <w:b w:val="0"/>
                <w:color w:val="1F2937"/>
                <w:sz w:val="18"/>
                <w:szCs w:val="18"/>
              </w:rPr>
              <w:t xml:space="preserve"> decision within </w:t>
            </w:r>
            <w:r>
              <w:rPr>
                <w:rFonts w:ascii="Aptos" w:hAnsi="Aptos" w:cs="Aptos"/>
                <w:b/>
                <w:color w:val="1F2937"/>
                <w:sz w:val="18"/>
                <w:szCs w:val="18"/>
              </w:rPr>
              <w:t xml:space="preserve">3 business days</w:t>
            </w:r>
            <w:r>
              <w:rPr>
                <w:rFonts w:ascii="Aptos" w:hAnsi="Aptos" w:cs="Aptos"/>
                <w:b w:val="0"/>
                <w:color w:val="1F2937"/>
                <w:sz w:val="18"/>
                <w:szCs w:val="18"/>
              </w:rPr>
              <w:t xml:space="preserve"> of a complete evidence pack, at the weekly CAB. An incomplete pack is returned and the clock does not start.</w:t>
            </w:r>
          </w:p>
          <w:p>
            <w:pPr>
              <w:numPr>
                <w:ilvl w:val="0"/>
                <w:numId w:val="10"/>
              </w:numPr>
              <w:spacing w:before="0" w:after="30" w:line="252" w:lineRule="auto"/>
            </w:pPr>
            <w:r>
              <w:rPr>
                <w:rFonts w:ascii="Aptos" w:hAnsi="Aptos" w:cs="Aptos"/>
                <w:b/>
                <w:color w:val="1F2937"/>
                <w:sz w:val="18"/>
                <w:szCs w:val="18"/>
              </w:rPr>
              <w:t xml:space="preserve">Emergency fix</w:t>
            </w:r>
            <w:r>
              <w:rPr>
                <w:rFonts w:ascii="Aptos" w:hAnsi="Aptos" w:cs="Aptos"/>
                <w:b w:val="0"/>
                <w:color w:val="1F2937"/>
                <w:sz w:val="18"/>
                <w:szCs w:val="18"/>
              </w:rPr>
              <w:t xml:space="preserve"> (safety or security defect): Emergency CAB decision within </w:t>
            </w:r>
            <w:r>
              <w:rPr>
                <w:rFonts w:ascii="Aptos" w:hAnsi="Aptos" w:cs="Aptos"/>
                <w:b/>
                <w:color w:val="1F2937"/>
                <w:sz w:val="18"/>
                <w:szCs w:val="18"/>
              </w:rPr>
              <w:t xml:space="preserve">4 hours</w:t>
            </w:r>
            <w:r>
              <w:rPr>
                <w:rFonts w:ascii="Aptos" w:hAnsi="Aptos" w:cs="Aptos"/>
                <w:b w:val="0"/>
                <w:color w:val="1F2937"/>
                <w:sz w:val="18"/>
                <w:szCs w:val="18"/>
              </w:rPr>
              <w:t xml:space="preserve">.</w:t>
            </w:r>
          </w:p>
          <w:p>
            <w:pPr>
              <w:numPr>
                <w:ilvl w:val="0"/>
                <w:numId w:val="10"/>
              </w:numPr>
              <w:spacing w:before="0" w:after="0" w:line="252" w:lineRule="auto"/>
            </w:pPr>
            <w:r>
              <w:rPr>
                <w:rFonts w:ascii="Aptos" w:hAnsi="Aptos" w:cs="Aptos"/>
                <w:b/>
                <w:color w:val="1F2937"/>
                <w:sz w:val="18"/>
                <w:szCs w:val="18"/>
              </w:rPr>
              <w:t xml:space="preserve">Rollback to the last approved version:</w:t>
            </w:r>
            <w:r>
              <w:rPr>
                <w:rFonts w:ascii="Aptos" w:hAnsi="Aptos" w:cs="Aptos"/>
                <w:b w:val="0"/>
                <w:color w:val="1F2937"/>
                <w:sz w:val="18"/>
                <w:szCs w:val="18"/>
              </w:rPr>
              <w:t xml:space="preserve"> pre-approved standard change, carried out without waiting for the CAB, which ratifies it within </w:t>
            </w:r>
            <w:r>
              <w:rPr>
                <w:rFonts w:ascii="Aptos" w:hAnsi="Aptos" w:cs="Aptos"/>
                <w:b/>
                <w:color w:val="1F2937"/>
                <w:sz w:val="18"/>
                <w:szCs w:val="18"/>
              </w:rPr>
              <w:t xml:space="preserve">1 business day</w:t>
            </w:r>
            <w:r>
              <w:rPr>
                <w:rFonts w:ascii="Aptos" w:hAnsi="Aptos" w:cs="Aptos"/>
                <w:b w:val="0"/>
                <w:color w:val="1F2937"/>
                <w:sz w:val="18"/>
                <w:szCs w:val="18"/>
              </w:rPr>
              <w:t xml:space="preserve">.</w:t>
            </w:r>
          </w:p>
        </w:tc>
      </w:tr>
    </w:tbl>
    <w:p>
      <w:pPr>
        <w:spacing w:after="40"/>
      </w:pPr>
    </w:p>
    <w:p>
      <w:pPr>
        <w:pStyle w:val="Heading3"/>
        <w:spacing w:after="120"/>
      </w:pPr>
      <w:r>
        <w:rPr>
          <w:rFonts w:ascii="Aptos" w:hAnsi="Aptos"/>
          <w:color w:val="1F2937"/>
          <w:sz w:val="22"/>
        </w:rPr>
        <w:t>Rollback Procedure Checklist</w:t>
      </w:r>
    </w:p>
    <w:tbl>
      <w:tblPr>
        <w:tblW w:type="dxa" w:w="10512"/>
        <w:jc w:val="center"/>
        <w:tblLayout w:type="fixed"/>
        <w:tblLook w:firstColumn="1" w:firstRow="1" w:lastColumn="0" w:lastRow="0" w:noHBand="0" w:noVBand="1" w:val="04A0"/>
      </w:tblPr>
      <w:tblGrid>
        <w:gridCol w:w="560"/>
        <w:gridCol w:w="2300"/>
        <w:gridCol w:w="7652"/>
      </w:tblGrid>
      <w:tr>
        <w:trPr>
          <w:cantSplit/>
          <w:tblHeader/>
        </w:trPr>
        <w:tc>
          <w:tcPr>
            <w:tcW w:type="dxa" w:w="56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jc w:val="center"/>
            </w:pPr>
            <w:r/>
            <w:r>
              <w:rPr>
                <w:rFonts w:ascii="Aptos" w:hAnsi="Aptos"/>
                <w:b/>
                <w:color w:val="17365D"/>
                <w:sz w:val="20"/>
              </w:rPr>
              <w:t>✓</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Rollback Requirement</w:t>
            </w:r>
          </w:p>
        </w:tc>
        <w:tc>
          <w:tcPr>
            <w:tcW w:type="dxa" w:w="765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Completed Design Detail</w:t>
            </w:r>
          </w:p>
        </w:tc>
      </w:tr>
      <w:tr>
        <w:trPr>
          <w:cantSplit/>
        </w:trPr>
        <w:tc>
          <w:tcPr>
            <w:tcW w:type="dxa" w:w="56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jc w:val="center"/>
            </w:pPr>
            <w:r>
              <w:rPr>
                <w:rFonts w:ascii="Aptos" w:hAnsi="Aptos" w:cs="Aptos"/>
                <w:b/>
                <w:color w:val="15803D"/>
                <w:sz w:val="20"/>
                <w:szCs w:val="20"/>
              </w:rPr>
              <w:t xml:space="preserve">✓</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Trigger conditions identified</w:t>
            </w:r>
          </w:p>
        </w:tc>
        <w:tc>
          <w:tcPr>
            <w:tcW w:type="dxa" w:w="765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The Incident Manager and the Platform Product Owner start a rollback when any of these is confirmed in production:</w:t>
            </w:r>
          </w:p>
          <w:p>
            <w:pPr>
              <w:numPr>
                <w:ilvl w:val="0"/>
                <w:numId w:val="10"/>
              </w:numPr>
              <w:spacing w:before="0" w:after="30" w:line="252" w:lineRule="auto"/>
            </w:pPr>
            <w:r>
              <w:rPr>
                <w:rFonts w:ascii="Aptos" w:hAnsi="Aptos" w:cs="Aptos"/>
                <w:b w:val="0"/>
                <w:color w:val="1F2937"/>
                <w:sz w:val="18"/>
                <w:szCs w:val="18"/>
              </w:rPr>
              <w:t xml:space="preserve">A customer-facing response predicts approval, states hardship eligibility, reinterprets a reason code or leaves out the loan-status disclosure (one confirmed instance is Severity 1).</w:t>
            </w:r>
          </w:p>
          <w:p>
            <w:pPr>
              <w:numPr>
                <w:ilvl w:val="0"/>
                <w:numId w:val="10"/>
              </w:numPr>
              <w:spacing w:before="0" w:after="30" w:line="252" w:lineRule="auto"/>
            </w:pPr>
            <w:r>
              <w:rPr>
                <w:rFonts w:ascii="Aptos" w:hAnsi="Aptos" w:cs="Aptos"/>
                <w:b w:val="0"/>
                <w:color w:val="1F2937"/>
                <w:sz w:val="18"/>
                <w:szCs w:val="18"/>
              </w:rPr>
              <w:t xml:space="preserve">A hardship or escalation-trigger conversation does not reach the licensed specialist queue.</w:t>
            </w:r>
          </w:p>
          <w:p>
            <w:pPr>
              <w:numPr>
                <w:ilvl w:val="0"/>
                <w:numId w:val="10"/>
              </w:numPr>
              <w:spacing w:before="0" w:after="30" w:line="252" w:lineRule="auto"/>
            </w:pPr>
            <w:r>
              <w:rPr>
                <w:rFonts w:ascii="Aptos" w:hAnsi="Aptos" w:cs="Aptos"/>
                <w:b w:val="0"/>
                <w:color w:val="1F2937"/>
                <w:sz w:val="18"/>
                <w:szCs w:val="18"/>
              </w:rPr>
              <w:t xml:space="preserve">More than 5% of calls fail for 15 minutes on the Dataverse, LOS status API or SharePoint connections.</w:t>
            </w:r>
          </w:p>
          <w:p>
            <w:pPr>
              <w:numPr>
                <w:ilvl w:val="0"/>
                <w:numId w:val="10"/>
              </w:numPr>
              <w:spacing w:before="0" w:after="30" w:line="252" w:lineRule="auto"/>
            </w:pPr>
            <w:r>
              <w:rPr>
                <w:rFonts w:ascii="Aptos" w:hAnsi="Aptos" w:cs="Aptos"/>
                <w:b w:val="0"/>
                <w:color w:val="1F2937"/>
                <w:sz w:val="18"/>
                <w:szCs w:val="18"/>
              </w:rPr>
              <w:t xml:space="preserve">A security regression, for example a connection running with broader privileges than approved.</w:t>
            </w:r>
          </w:p>
          <w:p>
            <w:pPr>
              <w:numPr>
                <w:ilvl w:val="0"/>
                <w:numId w:val="10"/>
              </w:numPr>
              <w:spacing w:before="0" w:after="0" w:line="252" w:lineRule="auto"/>
            </w:pPr>
            <w:r>
              <w:rPr>
                <w:rFonts w:ascii="Aptos" w:hAnsi="Aptos" w:cs="Aptos"/>
                <w:b w:val="0"/>
                <w:color w:val="1F2937"/>
                <w:sz w:val="18"/>
                <w:szCs w:val="18"/>
              </w:rPr>
              <w:t xml:space="preserve">A critical Foundry drift alert is traced to the release (Section 3).</w:t>
            </w:r>
          </w:p>
        </w:tc>
      </w:tr>
      <w:tr>
        <w:trPr>
          <w:cantSplit/>
        </w:trPr>
        <w:tc>
          <w:tcPr>
            <w:tcW w:type="dxa" w:w="56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jc w:val="center"/>
            </w:pPr>
            <w:r>
              <w:rPr>
                <w:rFonts w:ascii="Aptos" w:hAnsi="Aptos" w:cs="Aptos"/>
                <w:b/>
                <w:color w:val="15803D"/>
                <w:sz w:val="20"/>
                <w:szCs w:val="20"/>
              </w:rPr>
              <w:t xml:space="preserve">✓</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Production version restored</w:t>
            </w:r>
          </w:p>
        </w:tc>
        <w:tc>
          <w:tcPr>
            <w:tcW w:type="dxa" w:w="765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The previous approved managed solution (N-1) is redeployed through the same pipeline from the immutable artifact store. Production is never edited by hand.</w:t>
            </w:r>
          </w:p>
          <w:p>
            <w:pPr>
              <w:spacing w:before="0" w:after="50" w:line="252" w:lineRule="auto"/>
            </w:pPr>
            <w:r>
              <w:rPr>
                <w:rFonts w:ascii="Aptos" w:hAnsi="Aptos" w:cs="Aptos"/>
                <w:b w:val="0"/>
                <w:color w:val="1F2937"/>
                <w:sz w:val="18"/>
                <w:szCs w:val="18"/>
              </w:rPr>
              <w:t xml:space="preserve">If the platform blocks a version downgrade, the N-1 source is rebuilt under a higher version number so its content is identical to N-1.</w:t>
            </w:r>
          </w:p>
          <w:p>
            <w:pPr>
              <w:spacing w:before="0" w:after="0" w:line="252" w:lineRule="auto"/>
            </w:pPr>
            <w:r>
              <w:rPr>
                <w:rFonts w:ascii="Aptos" w:hAnsi="Aptos" w:cs="Aptos"/>
                <w:b w:val="0"/>
                <w:color w:val="1F2937"/>
                <w:sz w:val="18"/>
                <w:szCs w:val="18"/>
              </w:rPr>
              <w:t xml:space="preserve">All solutions listed in the release manifest roll back together, so agent, topic and flow dependencies stay aligned.</w:t>
            </w:r>
          </w:p>
        </w:tc>
      </w:tr>
      <w:tr>
        <w:trPr>
          <w:cantSplit/>
        </w:trPr>
        <w:tc>
          <w:tcPr>
            <w:tcW w:type="dxa" w:w="56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jc w:val="center"/>
            </w:pPr>
            <w:r>
              <w:rPr>
                <w:rFonts w:ascii="Aptos" w:hAnsi="Aptos" w:cs="Aptos"/>
                <w:b/>
                <w:color w:val="15803D"/>
                <w:sz w:val="20"/>
                <w:szCs w:val="20"/>
              </w:rPr>
              <w:t xml:space="preserve">✓</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Prompt/environment variable values restored</w:t>
            </w:r>
          </w:p>
        </w:tc>
        <w:tc>
          <w:tcPr>
            <w:tcW w:type="dxa" w:w="765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Environment-variable current values are supplied at deployment through the deployment settings file, not inside the solution, so redeploying the solution alone does not restore them.</w:t>
            </w:r>
          </w:p>
          <w:p>
            <w:pPr>
              <w:spacing w:before="0" w:after="50" w:line="252" w:lineRule="auto"/>
            </w:pPr>
            <w:r>
              <w:rPr>
                <w:rFonts w:ascii="Aptos" w:hAnsi="Aptos" w:cs="Aptos"/>
                <w:b w:val="0"/>
                <w:color w:val="1F2937"/>
                <w:sz w:val="18"/>
                <w:szCs w:val="18"/>
              </w:rPr>
              <w:t xml:space="preserve">The N-1 settings file, version-controlled with the release, is applied again. This restores the prompt template versions, API base URL, knowledge collection ID, escalation queue IDs, telemetry workspace name and the pinned Foundry model version.</w:t>
            </w:r>
          </w:p>
          <w:p>
            <w:pPr>
              <w:spacing w:before="0" w:after="0" w:line="252" w:lineRule="auto"/>
            </w:pPr>
            <w:r>
              <w:rPr>
                <w:rFonts w:ascii="Aptos" w:hAnsi="Aptos" w:cs="Aptos"/>
                <w:b w:val="0"/>
                <w:color w:val="1F2937"/>
                <w:sz w:val="18"/>
                <w:szCs w:val="18"/>
              </w:rPr>
              <w:t xml:space="preserve">The restored values are compared by hash against the N-1 manifest.</w:t>
            </w:r>
          </w:p>
        </w:tc>
      </w:tr>
      <w:tr>
        <w:trPr>
          <w:cantSplit/>
        </w:trPr>
        <w:tc>
          <w:tcPr>
            <w:tcW w:type="dxa" w:w="56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jc w:val="center"/>
            </w:pPr>
            <w:r>
              <w:rPr>
                <w:rFonts w:ascii="Aptos" w:hAnsi="Aptos" w:cs="Aptos"/>
                <w:b/>
                <w:color w:val="15803D"/>
                <w:sz w:val="20"/>
                <w:szCs w:val="20"/>
              </w:rPr>
              <w:t xml:space="preserve">✓</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Connection references validated after rollback</w:t>
            </w:r>
          </w:p>
        </w:tc>
        <w:tc>
          <w:tcPr>
            <w:tcW w:type="dxa" w:w="765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A post-rollback smoke test must pass before the service is declared restored:</w:t>
            </w:r>
          </w:p>
          <w:p>
            <w:pPr>
              <w:numPr>
                <w:ilvl w:val="0"/>
                <w:numId w:val="10"/>
              </w:numPr>
              <w:spacing w:before="0" w:after="30" w:line="252" w:lineRule="auto"/>
            </w:pPr>
            <w:r>
              <w:rPr>
                <w:rFonts w:ascii="Aptos" w:hAnsi="Aptos" w:cs="Aptos"/>
                <w:b w:val="0"/>
                <w:color w:val="1F2937"/>
                <w:sz w:val="18"/>
                <w:szCs w:val="18"/>
              </w:rPr>
              <w:t xml:space="preserve">The Dataverse, SharePoint and LOS status API connection references are each bound to the approved least-privilege connection and show Connected.</w:t>
            </w:r>
          </w:p>
          <w:p>
            <w:pPr>
              <w:numPr>
                <w:ilvl w:val="0"/>
                <w:numId w:val="10"/>
              </w:numPr>
              <w:spacing w:before="0" w:after="30" w:line="252" w:lineRule="auto"/>
            </w:pPr>
            <w:r>
              <w:rPr>
                <w:rFonts w:ascii="Aptos" w:hAnsi="Aptos" w:cs="Aptos"/>
                <w:b w:val="0"/>
                <w:color w:val="1F2937"/>
                <w:sz w:val="18"/>
                <w:szCs w:val="18"/>
              </w:rPr>
              <w:t xml:space="preserve">The note-submission flow still writes as the confirming user (the Section 1 fix is still in force).</w:t>
            </w:r>
          </w:p>
          <w:p>
            <w:pPr>
              <w:numPr>
                <w:ilvl w:val="0"/>
                <w:numId w:val="10"/>
              </w:numPr>
              <w:spacing w:before="0" w:after="30" w:line="252" w:lineRule="auto"/>
            </w:pPr>
            <w:r>
              <w:rPr>
                <w:rFonts w:ascii="Aptos" w:hAnsi="Aptos" w:cs="Aptos"/>
                <w:b w:val="0"/>
                <w:color w:val="1F2937"/>
                <w:sz w:val="18"/>
                <w:szCs w:val="18"/>
              </w:rPr>
              <w:t xml:space="preserve">Synthetic test transactions: authenticated triage routes a hardship case to the specialist queue; the Document Request Agent completes a status call; the Branch Support Agent completes a policy lookup.</w:t>
            </w:r>
          </w:p>
          <w:p>
            <w:pPr>
              <w:numPr>
                <w:ilvl w:val="0"/>
                <w:numId w:val="10"/>
              </w:numPr>
              <w:spacing w:before="0" w:after="0" w:line="252" w:lineRule="auto"/>
            </w:pPr>
            <w:r>
              <w:rPr>
                <w:rFonts w:ascii="Aptos" w:hAnsi="Aptos" w:cs="Aptos"/>
                <w:b w:val="0"/>
                <w:color w:val="1F2937"/>
                <w:sz w:val="18"/>
                <w:szCs w:val="18"/>
              </w:rPr>
              <w:t xml:space="preserve">No secret values appear in environment variables.</w:t>
            </w:r>
          </w:p>
        </w:tc>
      </w:tr>
      <w:tr>
        <w:trPr>
          <w:cantSplit/>
        </w:trPr>
        <w:tc>
          <w:tcPr>
            <w:tcW w:type="dxa" w:w="56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jc w:val="center"/>
            </w:pPr>
            <w:r>
              <w:rPr>
                <w:rFonts w:ascii="Aptos" w:hAnsi="Aptos" w:cs="Aptos"/>
                <w:b/>
                <w:color w:val="15803D"/>
                <w:sz w:val="20"/>
                <w:szCs w:val="20"/>
              </w:rPr>
              <w:t xml:space="preserve">✓</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Restoration time target documented</w:t>
            </w:r>
          </w:p>
        </w:tc>
        <w:tc>
          <w:tcPr>
            <w:tcW w:type="dxa" w:w="765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numPr>
                <w:ilvl w:val="0"/>
                <w:numId w:val="10"/>
              </w:numPr>
              <w:spacing w:before="0" w:after="30" w:line="252" w:lineRule="auto"/>
            </w:pPr>
            <w:r>
              <w:rPr>
                <w:rFonts w:ascii="Aptos" w:hAnsi="Aptos" w:cs="Aptos"/>
                <w:b/>
                <w:color w:val="1F2937"/>
                <w:sz w:val="18"/>
                <w:szCs w:val="18"/>
              </w:rPr>
              <w:t xml:space="preserve">Containment within 15 minutes:</w:t>
            </w:r>
            <w:r>
              <w:rPr>
                <w:rFonts w:ascii="Aptos" w:hAnsi="Aptos" w:cs="Aptos"/>
                <w:b w:val="0"/>
                <w:color w:val="1F2937"/>
                <w:sz w:val="18"/>
                <w:szCs w:val="18"/>
              </w:rPr>
              <w:t xml:space="preserve"> the affected agent is taken off the chat workstream, so conversations go straight to human queues and no customer is left with an unsafe agent.</w:t>
            </w:r>
          </w:p>
          <w:p>
            <w:pPr>
              <w:numPr>
                <w:ilvl w:val="0"/>
                <w:numId w:val="10"/>
              </w:numPr>
              <w:spacing w:before="0" w:after="30" w:line="252" w:lineRule="auto"/>
            </w:pPr>
            <w:r>
              <w:rPr>
                <w:rFonts w:ascii="Aptos" w:hAnsi="Aptos" w:cs="Aptos"/>
                <w:b/>
                <w:color w:val="1F2937"/>
                <w:sz w:val="18"/>
                <w:szCs w:val="18"/>
              </w:rPr>
              <w:t xml:space="preserve">Full restoration within 60 minutes</w:t>
            </w:r>
            <w:r>
              <w:rPr>
                <w:rFonts w:ascii="Aptos" w:hAnsi="Aptos" w:cs="Aptos"/>
                <w:b w:val="0"/>
                <w:color w:val="1F2937"/>
                <w:sz w:val="18"/>
                <w:szCs w:val="18"/>
              </w:rPr>
              <w:t xml:space="preserve"> of the rollback decision: the N-1 service is running and has passed the smoke test.</w:t>
            </w:r>
          </w:p>
          <w:p>
            <w:pPr>
              <w:numPr>
                <w:ilvl w:val="0"/>
                <w:numId w:val="10"/>
              </w:numPr>
              <w:spacing w:before="0" w:after="0" w:line="252" w:lineRule="auto"/>
            </w:pPr>
            <w:r>
              <w:rPr>
                <w:rFonts w:ascii="Aptos" w:hAnsi="Aptos" w:cs="Aptos"/>
                <w:b/>
                <w:color w:val="1F2937"/>
                <w:sz w:val="18"/>
                <w:szCs w:val="18"/>
              </w:rPr>
              <w:t xml:space="preserve">CAB ratification within 1 business day; post-incident review within 5 business days.</w:t>
            </w:r>
          </w:p>
        </w:tc>
      </w:tr>
    </w:tbl>
    <w:p>
      <w:pPr>
        <w:spacing w:after="40"/>
      </w:pPr>
    </w:p>
    <w:p>
      <w:pPr>
        <w:pStyle w:val="Heading3"/>
        <w:spacing w:after="120"/>
      </w:pPr>
      <w:r>
        <w:rPr>
          <w:rFonts w:ascii="Aptos" w:hAnsi="Aptos"/>
          <w:color w:val="1F2937"/>
          <w:sz w:val="22"/>
        </w:rPr>
        <w:t>Analytical Content (150-250 words)</w:t>
      </w:r>
    </w:p>
    <w:tbl>
      <w:tblPr>
        <w:tblW w:type="dxa" w:w="10512"/>
        <w:jc w:val="center"/>
        <w:tblLayout w:type="fixed"/>
        <w:tblLook w:firstColumn="1" w:firstRow="1" w:lastColumn="0" w:lastRow="0" w:noHBand="0" w:noVBand="1" w:val="04A0"/>
      </w:tblPr>
      <w:tblGrid>
        <w:gridCol w:w="10512"/>
      </w:tblGrid>
      <w:tr>
        <w:tc>
          <w:tcPr>
            <w:tcW w:type="dxa" w:w="105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FCFCFD"/>
            <w:tcMar>
              <w:top w:w="120" w:type="dxa"/>
              <w:left w:w="160" w:type="dxa"/>
              <w:bottom w:w="120" w:type="dxa"/>
              <w:right w:w="160" w:type="dxa"/>
            </w:tcMar>
          </w:tcPr>
          <w:p>
            <w:pPr>
              <w:spacing w:before="0" w:after="140" w:line="264" w:lineRule="auto"/>
            </w:pPr>
            <w:r>
              <w:rPr>
                <w:rFonts w:ascii="Aptos" w:hAnsi="Aptos" w:cs="Aptos"/>
                <w:b w:val="0"/>
                <w:color w:val="1F2937"/>
                <w:sz w:val="20"/>
                <w:szCs w:val="20"/>
              </w:rPr>
              <w:t xml:space="preserve">The environment strategy is built so that what the CAB approves is exactly what runs in production. Agents move from development to test, pre-production and production only as managed solutions, so production cannot be hand-edited and every change carries a version number. Everything that legitimately differs between environments is kept outside the solution. Connection references bind each environment to its own least-privilege identity for Dataverse, SharePoint and the loan origination status API. Environment variables carry non-secret settings such as the API base URL, knowledge collection ID, escalation queue IDs and telemetry workspace. Secrets stay in managed connections or approved secret storage. Pre-production mirrors production configuration with synthetic data, so its results are valid evidence for the production decision.</w:t>
            </w:r>
          </w:p>
          <w:p>
            <w:pPr>
              <w:spacing w:before="0" w:after="0" w:line="264" w:lineRule="auto"/>
            </w:pPr>
            <w:r>
              <w:rPr>
                <w:rFonts w:ascii="Aptos" w:hAnsi="Aptos" w:cs="Aptos"/>
                <w:b w:val="0"/>
                <w:color w:val="1F2937"/>
                <w:sz w:val="20"/>
                <w:szCs w:val="20"/>
              </w:rPr>
              <w:t xml:space="preserve">The approval gate reflects regulated change-management expectations in three ways. First, it is evidence-based. A change cannot reach the agenda until security regression, prompt-safety and integration results are attached, so approval is a judgment on evidence rather than on verbal assurance. Second, it brings independent challenge. Compliance and Model Risk Management sit alongside Information Security because a prompt or knowledge change alters what customers are told about credit, which makes it a conduct-risk change rather than a technical one. Third, it separates duties and leaves an audit trail linking every production version to its approvers. The SLA stops governance from becoming a bottleneck, and pre-approved rollback means containing customer harm never waits for a meeting.</w:t>
            </w:r>
          </w:p>
        </w:tc>
      </w:tr>
    </w:tbl>
    <w:p>
      <w:pPr>
        <w:spacing w:after="80"/>
      </w:pPr>
    </w:p>
    <w:p>
      <w:pPr>
        <w:pStyle w:val="Heading2"/>
        <w:spacing w:after="120"/>
        <w:pBdr>
          <w:bottom w:val="single" w:sz="6" w:space="4" w:color="CBD5E1"/>
        </w:pBdr>
      </w:pPr>
      <w:r>
        <w:rPr>
          <w:rFonts w:ascii="Aptos" w:hAnsi="Aptos"/>
          <w:color w:val="1F2937"/>
          <w:sz w:val="28"/>
        </w:rPr>
        <w:t>3. Microsoft Foundry Agent and Custom Model Lifecycle Summary</w:t>
      </w:r>
    </w:p>
    <w:p>
      <w:pPr>
        <w:pStyle w:val="Heading3"/>
        <w:spacing w:after="120"/>
      </w:pPr>
      <w:r>
        <w:rPr>
          <w:rFonts w:ascii="Aptos" w:hAnsi="Aptos"/>
          <w:color w:val="1F2937"/>
          <w:sz w:val="22"/>
        </w:rPr>
        <w:t>Versioning Decision Table</w:t>
      </w:r>
    </w:p>
    <w:tbl>
      <w:tblPr>
        <w:tblW w:type="dxa" w:w="10512"/>
        <w:jc w:val="center"/>
        <w:tblLayout w:type="fixed"/>
        <w:tblLook w:firstColumn="1" w:firstRow="1" w:lastColumn="0" w:lastRow="0" w:noHBand="0" w:noVBand="1" w:val="04A0"/>
      </w:tblPr>
      <w:tblGrid>
        <w:gridCol w:w="1000"/>
        <w:gridCol w:w="3000"/>
        <w:gridCol w:w="4012"/>
        <w:gridCol w:w="2500"/>
      </w:tblGrid>
      <w:tr>
        <w:trPr>
          <w:cantSplit/>
          <w:tblHeader/>
        </w:trPr>
        <w:tc>
          <w:tcPr>
            <w:tcW w:type="dxa" w:w="1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Version Type</w:t>
            </w:r>
          </w:p>
        </w:tc>
        <w:tc>
          <w:tcPr>
            <w:tcW w:type="dxa" w:w="3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Trigger in This Scenario</w:t>
            </w:r>
          </w:p>
        </w:tc>
        <w:tc>
          <w:tcPr>
            <w:tcW w:type="dxa" w:w="40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Promotion Process Triggered</w:t>
            </w:r>
          </w:p>
        </w:tc>
        <w:tc>
          <w:tcPr>
            <w:tcW w:type="dxa" w:w="2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Governance Owner</w:t>
            </w:r>
          </w:p>
        </w:tc>
      </w:tr>
      <w:tr>
        <w:trPr>
          <w:cantSplit/>
        </w:trPr>
        <w:tc>
          <w:tcPr>
            <w:tcW w:type="dxa" w:w="1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Major</w:t>
            </w:r>
          </w:p>
        </w:tc>
        <w:tc>
          <w:tcPr>
            <w:tcW w:type="dxa" w:w="3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Any change to what an output </w:t>
            </w:r>
            <w:r>
              <w:rPr>
                <w:rFonts w:ascii="Aptos" w:hAnsi="Aptos" w:cs="Aptos"/>
                <w:b/>
                <w:color w:val="1F2937"/>
                <w:sz w:val="18"/>
                <w:szCs w:val="18"/>
              </w:rPr>
              <w:t xml:space="preserve">means</w:t>
            </w:r>
            <w:r>
              <w:rPr>
                <w:rFonts w:ascii="Aptos" w:hAnsi="Aptos" w:cs="Aptos"/>
                <w:b w:val="0"/>
                <w:color w:val="1F2937"/>
                <w:sz w:val="18"/>
                <w:szCs w:val="18"/>
              </w:rPr>
              <w:t xml:space="preserve"> for downstream processes:</w:t>
            </w:r>
          </w:p>
          <w:p>
            <w:pPr>
              <w:numPr>
                <w:ilvl w:val="0"/>
                <w:numId w:val="10"/>
              </w:numPr>
              <w:spacing w:before="0" w:after="30" w:line="252" w:lineRule="auto"/>
            </w:pPr>
            <w:r>
              <w:rPr>
                <w:rFonts w:ascii="Aptos" w:hAnsi="Aptos" w:cs="Aptos"/>
                <w:b/>
                <w:color w:val="1F2937"/>
                <w:sz w:val="18"/>
                <w:szCs w:val="18"/>
              </w:rPr>
              <w:t xml:space="preserve">Class taxonomy changes</w:t>
            </w:r>
            <w:r>
              <w:rPr>
                <w:rFonts w:ascii="Aptos" w:hAnsi="Aptos" w:cs="Aptos"/>
                <w:b w:val="0"/>
                <w:color w:val="1F2937"/>
                <w:sz w:val="18"/>
                <w:szCs w:val="18"/>
              </w:rPr>
              <w:t xml:space="preserve">, for example splitting income verification into salaried and self-employed, or redefining “unsupported document”.</w:t>
            </w:r>
          </w:p>
          <w:p>
            <w:pPr>
              <w:numPr>
                <w:ilvl w:val="0"/>
                <w:numId w:val="10"/>
              </w:numPr>
              <w:spacing w:before="0" w:after="30" w:line="252" w:lineRule="auto"/>
            </w:pPr>
            <w:r>
              <w:rPr>
                <w:rFonts w:ascii="Aptos" w:hAnsi="Aptos" w:cs="Aptos"/>
                <w:b/>
                <w:color w:val="1F2937"/>
                <w:sz w:val="18"/>
                <w:szCs w:val="18"/>
              </w:rPr>
              <w:t xml:space="preserve">Changes to its role in the decisioning workflow</w:t>
            </w:r>
            <w:r>
              <w:rPr>
                <w:rFonts w:ascii="Aptos" w:hAnsi="Aptos" w:cs="Aptos"/>
                <w:b w:val="0"/>
                <w:color w:val="1F2937"/>
                <w:sz w:val="18"/>
                <w:szCs w:val="18"/>
              </w:rPr>
              <w:t xml:space="preserve">, for example letting the review recommendation bypass human review, or changing the confidence threshold that drives automatic routing.</w:t>
            </w:r>
          </w:p>
          <w:p>
            <w:pPr>
              <w:numPr>
                <w:ilvl w:val="0"/>
                <w:numId w:val="10"/>
              </w:numPr>
              <w:spacing w:before="0" w:after="0" w:line="252" w:lineRule="auto"/>
            </w:pPr>
            <w:r>
              <w:rPr>
                <w:rFonts w:ascii="Aptos" w:hAnsi="Aptos" w:cs="Aptos"/>
                <w:b/>
                <w:color w:val="1F2937"/>
                <w:sz w:val="18"/>
                <w:szCs w:val="18"/>
              </w:rPr>
              <w:t xml:space="preserve">New supported document groups</w:t>
            </w:r>
            <w:r>
              <w:rPr>
                <w:rFonts w:ascii="Aptos" w:hAnsi="Aptos" w:cs="Aptos"/>
                <w:b w:val="0"/>
                <w:color w:val="1F2937"/>
                <w:sz w:val="18"/>
                <w:szCs w:val="18"/>
              </w:rPr>
              <w:t xml:space="preserve">, for example identity documents from a new region or a new collateral type.</w:t>
            </w:r>
          </w:p>
        </w:tc>
        <w:tc>
          <w:tcPr>
            <w:tcW w:type="dxa" w:w="40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Full model validation and new baselines:</w:t>
            </w:r>
          </w:p>
          <w:p>
            <w:pPr>
              <w:numPr>
                <w:ilvl w:val="0"/>
                <w:numId w:val="10"/>
              </w:numPr>
              <w:spacing w:before="0" w:after="30" w:line="252" w:lineRule="auto"/>
            </w:pPr>
            <w:r>
              <w:rPr>
                <w:rFonts w:ascii="Aptos" w:hAnsi="Aptos" w:cs="Aptos"/>
                <w:b w:val="0"/>
                <w:color w:val="1F2937"/>
                <w:sz w:val="18"/>
                <w:szCs w:val="18"/>
              </w:rPr>
              <w:t xml:space="preserve">Independent validation by Model Risk Management (MRM).</w:t>
            </w:r>
          </w:p>
          <w:p>
            <w:pPr>
              <w:numPr>
                <w:ilvl w:val="0"/>
                <w:numId w:val="10"/>
              </w:numPr>
              <w:spacing w:before="0" w:after="30" w:line="252" w:lineRule="auto"/>
            </w:pPr>
            <w:r>
              <w:rPr>
                <w:rFonts w:ascii="Aptos" w:hAnsi="Aptos" w:cs="Aptos"/>
                <w:b w:val="0"/>
                <w:color w:val="1F2937"/>
                <w:sz w:val="18"/>
                <w:szCs w:val="18"/>
              </w:rPr>
              <w:t xml:space="preserve">Segment-level performance comparison with the current model for every segment, including document groups linked to protected or proxy attributes. No segment may fall below the 0.84 F1 floor or trail the current model by more than 1 point.</w:t>
            </w:r>
          </w:p>
          <w:p>
            <w:pPr>
              <w:numPr>
                <w:ilvl w:val="0"/>
                <w:numId w:val="10"/>
              </w:numPr>
              <w:spacing w:before="0" w:after="30" w:line="252" w:lineRule="auto"/>
            </w:pPr>
            <w:r>
              <w:rPr>
                <w:rFonts w:ascii="Aptos" w:hAnsi="Aptos" w:cs="Aptos"/>
                <w:b w:val="0"/>
                <w:color w:val="1F2937"/>
                <w:sz w:val="18"/>
                <w:szCs w:val="18"/>
              </w:rPr>
              <w:t xml:space="preserve">Shadow run in pre-production (at least 4 weeks or 5,000 documents) with reviewer override analysis.</w:t>
            </w:r>
          </w:p>
          <w:p>
            <w:pPr>
              <w:numPr>
                <w:ilvl w:val="0"/>
                <w:numId w:val="10"/>
              </w:numPr>
              <w:spacing w:before="0" w:after="30" w:line="252" w:lineRule="auto"/>
            </w:pPr>
            <w:r>
              <w:rPr>
                <w:rFonts w:ascii="Aptos" w:hAnsi="Aptos" w:cs="Aptos"/>
                <w:b w:val="0"/>
                <w:color w:val="1F2937"/>
                <w:sz w:val="18"/>
                <w:szCs w:val="18"/>
              </w:rPr>
              <w:t xml:space="preserve">Drift baselines reset, plus an impact assessment for the canvas app classifier and the Document Request Agent’s wording.</w:t>
            </w:r>
          </w:p>
          <w:p>
            <w:pPr>
              <w:numPr>
                <w:ilvl w:val="0"/>
                <w:numId w:val="10"/>
              </w:numPr>
              <w:spacing w:before="0" w:after="0" w:line="252" w:lineRule="auto"/>
            </w:pPr>
            <w:r>
              <w:rPr>
                <w:rFonts w:ascii="Aptos" w:hAnsi="Aptos" w:cs="Aptos"/>
                <w:b w:val="0"/>
                <w:color w:val="1F2937"/>
                <w:sz w:val="18"/>
                <w:szCs w:val="18"/>
              </w:rPr>
              <w:t xml:space="preserve">Model Risk Committee approval, then CAB.</w:t>
            </w:r>
          </w:p>
        </w:tc>
        <w:tc>
          <w:tcPr>
            <w:tcW w:type="dxa" w:w="2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Approves:</w:t>
            </w:r>
            <w:r>
              <w:rPr>
                <w:rFonts w:ascii="Aptos" w:hAnsi="Aptos" w:cs="Aptos"/>
                <w:b w:val="0"/>
                <w:color w:val="1F2937"/>
                <w:sz w:val="18"/>
                <w:szCs w:val="18"/>
              </w:rPr>
              <w:t xml:space="preserve"> Model Risk Management.</w:t>
            </w:r>
          </w:p>
          <w:p>
            <w:pPr>
              <w:spacing w:before="0" w:after="0" w:line="252" w:lineRule="auto"/>
            </w:pPr>
            <w:r>
              <w:rPr>
                <w:rFonts w:ascii="Aptos" w:hAnsi="Aptos" w:cs="Aptos"/>
                <w:b/>
                <w:color w:val="1F2937"/>
                <w:sz w:val="18"/>
                <w:szCs w:val="18"/>
              </w:rPr>
              <w:t xml:space="preserve">Accountable:</w:t>
            </w:r>
            <w:r>
              <w:rPr>
                <w:rFonts w:ascii="Aptos" w:hAnsi="Aptos" w:cs="Aptos"/>
                <w:b w:val="0"/>
                <w:color w:val="1F2937"/>
                <w:sz w:val="18"/>
                <w:szCs w:val="18"/>
              </w:rPr>
              <w:t xml:space="preserve"> Head of Credit Operations (model owner).</w:t>
            </w:r>
          </w:p>
        </w:tc>
      </w:tr>
      <w:tr>
        <w:trPr>
          <w:cantSplit/>
        </w:trPr>
        <w:tc>
          <w:tcPr>
            <w:tcW w:type="dxa" w:w="1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Minor</w:t>
            </w:r>
          </w:p>
        </w:tc>
        <w:tc>
          <w:tcPr>
            <w:tcW w:type="dxa" w:w="3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Better extraction or classification quality </w:t>
            </w:r>
            <w:r>
              <w:rPr>
                <w:rFonts w:ascii="Aptos" w:hAnsi="Aptos" w:cs="Aptos"/>
                <w:b/>
                <w:color w:val="1F2937"/>
                <w:sz w:val="18"/>
                <w:szCs w:val="18"/>
              </w:rPr>
              <w:t xml:space="preserve">without changing category meanings</w:t>
            </w:r>
            <w:r>
              <w:rPr>
                <w:rFonts w:ascii="Aptos" w:hAnsi="Aptos" w:cs="Aptos"/>
                <w:b w:val="0"/>
                <w:color w:val="1F2937"/>
                <w:sz w:val="18"/>
                <w:szCs w:val="18"/>
              </w:rPr>
              <w:t xml:space="preserve">:</w:t>
            </w:r>
          </w:p>
          <w:p>
            <w:pPr>
              <w:numPr>
                <w:ilvl w:val="0"/>
                <w:numId w:val="10"/>
              </w:numPr>
              <w:spacing w:before="0" w:after="30" w:line="252" w:lineRule="auto"/>
            </w:pPr>
            <w:r>
              <w:rPr>
                <w:rFonts w:ascii="Aptos" w:hAnsi="Aptos" w:cs="Aptos"/>
                <w:b w:val="0"/>
                <w:color w:val="1F2937"/>
                <w:sz w:val="18"/>
                <w:szCs w:val="18"/>
              </w:rPr>
              <w:t xml:space="preserve">Retraining with more self-employed income documents to raise that segment’s F1 above 0.84.</w:t>
            </w:r>
          </w:p>
          <w:p>
            <w:pPr>
              <w:numPr>
                <w:ilvl w:val="0"/>
                <w:numId w:val="10"/>
              </w:numPr>
              <w:spacing w:before="0" w:after="0" w:line="252" w:lineRule="auto"/>
            </w:pPr>
            <w:r>
              <w:rPr>
                <w:rFonts w:ascii="Aptos" w:hAnsi="Aptos" w:cs="Aptos"/>
                <w:b w:val="0"/>
                <w:color w:val="1F2937"/>
                <w:sz w:val="18"/>
                <w:szCs w:val="18"/>
              </w:rPr>
              <w:t xml:space="preserve">More accurate key-field extraction, for example collateral valuation dates.</w:t>
            </w:r>
          </w:p>
        </w:tc>
        <w:tc>
          <w:tcPr>
            <w:tcW w:type="dxa" w:w="40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Targeted validation:</w:t>
            </w:r>
          </w:p>
          <w:p>
            <w:pPr>
              <w:numPr>
                <w:ilvl w:val="0"/>
                <w:numId w:val="10"/>
              </w:numPr>
              <w:spacing w:before="0" w:after="30" w:line="252" w:lineRule="auto"/>
            </w:pPr>
            <w:r>
              <w:rPr>
                <w:rFonts w:ascii="Aptos" w:hAnsi="Aptos" w:cs="Aptos"/>
                <w:b w:val="0"/>
                <w:color w:val="1F2937"/>
                <w:sz w:val="18"/>
                <w:szCs w:val="18"/>
              </w:rPr>
              <w:t xml:space="preserve">Segment-level comparison on held-out test data: no segment drops by more than 1 F1 point, and the targeted segment must improve.</w:t>
            </w:r>
          </w:p>
          <w:p>
            <w:pPr>
              <w:numPr>
                <w:ilvl w:val="0"/>
                <w:numId w:val="10"/>
              </w:numPr>
              <w:spacing w:before="0" w:after="30" w:line="252" w:lineRule="auto"/>
            </w:pPr>
            <w:r>
              <w:rPr>
                <w:rFonts w:ascii="Aptos" w:hAnsi="Aptos" w:cs="Aptos"/>
                <w:b w:val="0"/>
                <w:color w:val="1F2937"/>
                <w:sz w:val="18"/>
                <w:szCs w:val="18"/>
              </w:rPr>
              <w:t xml:space="preserve">Reviewer override analysis by replaying the last 30 days of reviewed documents.</w:t>
            </w:r>
          </w:p>
          <w:p>
            <w:pPr>
              <w:numPr>
                <w:ilvl w:val="0"/>
                <w:numId w:val="10"/>
              </w:numPr>
              <w:spacing w:before="0" w:after="30" w:line="252" w:lineRule="auto"/>
            </w:pPr>
            <w:r>
              <w:rPr>
                <w:rFonts w:ascii="Aptos" w:hAnsi="Aptos" w:cs="Aptos"/>
                <w:b w:val="0"/>
                <w:color w:val="1F2937"/>
                <w:sz w:val="18"/>
                <w:szCs w:val="18"/>
              </w:rPr>
              <w:t xml:space="preserve">Drift metric review to confirm the baselines are still valid.</w:t>
            </w:r>
          </w:p>
          <w:p>
            <w:pPr>
              <w:numPr>
                <w:ilvl w:val="0"/>
                <w:numId w:val="10"/>
              </w:numPr>
              <w:spacing w:before="0" w:after="0" w:line="252" w:lineRule="auto"/>
            </w:pPr>
            <w:r>
              <w:rPr>
                <w:rFonts w:ascii="Aptos" w:hAnsi="Aptos" w:cs="Aptos"/>
                <w:b w:val="0"/>
                <w:color w:val="1F2937"/>
                <w:sz w:val="18"/>
                <w:szCs w:val="18"/>
              </w:rPr>
              <w:t xml:space="preserve">Review by MRM (not full revalidation), then a standard CAB change.</w:t>
            </w:r>
          </w:p>
        </w:tc>
        <w:tc>
          <w:tcPr>
            <w:tcW w:type="dxa" w:w="2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Approves:</w:t>
            </w:r>
            <w:r>
              <w:rPr>
                <w:rFonts w:ascii="Aptos" w:hAnsi="Aptos" w:cs="Aptos"/>
                <w:b w:val="0"/>
                <w:color w:val="1F2937"/>
                <w:sz w:val="18"/>
                <w:szCs w:val="18"/>
              </w:rPr>
              <w:t xml:space="preserve"> Model owner (Head of Credit Operations) with the ML Engineering Lead.</w:t>
            </w:r>
          </w:p>
          <w:p>
            <w:pPr>
              <w:spacing w:before="0" w:after="0" w:line="252" w:lineRule="auto"/>
            </w:pPr>
            <w:r>
              <w:rPr>
                <w:rFonts w:ascii="Aptos" w:hAnsi="Aptos" w:cs="Aptos"/>
                <w:b/>
                <w:color w:val="1F2937"/>
                <w:sz w:val="18"/>
                <w:szCs w:val="18"/>
              </w:rPr>
              <w:t xml:space="preserve">Reviews:</w:t>
            </w:r>
            <w:r>
              <w:rPr>
                <w:rFonts w:ascii="Aptos" w:hAnsi="Aptos" w:cs="Aptos"/>
                <w:b w:val="0"/>
                <w:color w:val="1F2937"/>
                <w:sz w:val="18"/>
                <w:szCs w:val="18"/>
              </w:rPr>
              <w:t xml:space="preserve"> MRM.</w:t>
            </w:r>
          </w:p>
        </w:tc>
      </w:tr>
      <w:tr>
        <w:trPr>
          <w:cantSplit/>
        </w:trPr>
        <w:tc>
          <w:tcPr>
            <w:tcW w:type="dxa" w:w="1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Patch</w:t>
            </w:r>
          </w:p>
        </w:tc>
        <w:tc>
          <w:tcPr>
            <w:tcW w:type="dxa" w:w="3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Changes meant to leave behavior unchanged:</w:t>
            </w:r>
          </w:p>
          <w:p>
            <w:pPr>
              <w:numPr>
                <w:ilvl w:val="0"/>
                <w:numId w:val="10"/>
              </w:numPr>
              <w:spacing w:before="0" w:after="30" w:line="252" w:lineRule="auto"/>
            </w:pPr>
            <w:r>
              <w:rPr>
                <w:rFonts w:ascii="Aptos" w:hAnsi="Aptos" w:cs="Aptos"/>
                <w:b w:val="0"/>
                <w:color w:val="1F2937"/>
                <w:sz w:val="18"/>
                <w:szCs w:val="18"/>
              </w:rPr>
              <w:t xml:space="preserve">Prompt wording in the Foundry agent workflow.</w:t>
            </w:r>
          </w:p>
          <w:p>
            <w:pPr>
              <w:numPr>
                <w:ilvl w:val="0"/>
                <w:numId w:val="10"/>
              </w:numPr>
              <w:spacing w:before="0" w:after="30" w:line="252" w:lineRule="auto"/>
            </w:pPr>
            <w:r>
              <w:rPr>
                <w:rFonts w:ascii="Aptos" w:hAnsi="Aptos" w:cs="Aptos"/>
                <w:b w:val="0"/>
                <w:color w:val="1F2937"/>
                <w:sz w:val="18"/>
                <w:szCs w:val="18"/>
              </w:rPr>
              <w:t xml:space="preserve">Telemetry field mapping, for example adding the model version to the telemetry table.</w:t>
            </w:r>
          </w:p>
          <w:p>
            <w:pPr>
              <w:numPr>
                <w:ilvl w:val="0"/>
                <w:numId w:val="10"/>
              </w:numPr>
              <w:spacing w:before="0" w:after="0" w:line="252" w:lineRule="auto"/>
            </w:pPr>
            <w:r>
              <w:rPr>
                <w:rFonts w:ascii="Aptos" w:hAnsi="Aptos" w:cs="Aptos"/>
                <w:b w:val="0"/>
                <w:color w:val="1F2937"/>
                <w:sz w:val="18"/>
                <w:szCs w:val="18"/>
              </w:rPr>
              <w:t xml:space="preserve">Workflow fixes that don’t change behavior, such as retry logic.</w:t>
            </w:r>
          </w:p>
        </w:tc>
        <w:tc>
          <w:tcPr>
            <w:tcW w:type="dxa" w:w="40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Test that behavior is unchanged:</w:t>
            </w:r>
          </w:p>
          <w:p>
            <w:pPr>
              <w:numPr>
                <w:ilvl w:val="0"/>
                <w:numId w:val="10"/>
              </w:numPr>
              <w:spacing w:before="0" w:after="30" w:line="252" w:lineRule="auto"/>
            </w:pPr>
            <w:r>
              <w:rPr>
                <w:rFonts w:ascii="Aptos" w:hAnsi="Aptos" w:cs="Aptos"/>
                <w:b w:val="0"/>
                <w:color w:val="1F2937"/>
                <w:sz w:val="18"/>
                <w:szCs w:val="18"/>
              </w:rPr>
              <w:t xml:space="preserve">On a 2,000-document labeled reference set: at least 99.5% of classes identical, mean confidence shift no more than 0.02, and no change in review recommendations.</w:t>
            </w:r>
          </w:p>
          <w:p>
            <w:pPr>
              <w:numPr>
                <w:ilvl w:val="0"/>
                <w:numId w:val="10"/>
              </w:numPr>
              <w:spacing w:before="0" w:after="30" w:line="252" w:lineRule="auto"/>
            </w:pPr>
            <w:r>
              <w:rPr>
                <w:rFonts w:ascii="Aptos" w:hAnsi="Aptos" w:cs="Aptos"/>
                <w:b w:val="0"/>
                <w:color w:val="1F2937"/>
                <w:sz w:val="18"/>
                <w:szCs w:val="18"/>
              </w:rPr>
              <w:t xml:space="preserve">If the test fails, the change is treated as </w:t>
            </w:r>
            <w:r>
              <w:rPr>
                <w:rFonts w:ascii="Aptos" w:hAnsi="Aptos" w:cs="Aptos"/>
                <w:b/>
                <w:color w:val="1F2937"/>
                <w:sz w:val="18"/>
                <w:szCs w:val="18"/>
              </w:rPr>
              <w:t xml:space="preserve">minor</w:t>
            </w:r>
            <w:r>
              <w:rPr>
                <w:rFonts w:ascii="Aptos" w:hAnsi="Aptos" w:cs="Aptos"/>
                <w:b w:val="0"/>
                <w:color w:val="1F2937"/>
                <w:sz w:val="18"/>
                <w:szCs w:val="18"/>
              </w:rPr>
              <w:t xml:space="preserve">.</w:t>
            </w:r>
          </w:p>
          <w:p>
            <w:pPr>
              <w:numPr>
                <w:ilvl w:val="0"/>
                <w:numId w:val="10"/>
              </w:numPr>
              <w:spacing w:before="0" w:after="30" w:line="252" w:lineRule="auto"/>
            </w:pPr>
            <w:r>
              <w:rPr>
                <w:rFonts w:ascii="Aptos" w:hAnsi="Aptos" w:cs="Aptos"/>
                <w:b w:val="0"/>
                <w:color w:val="1F2937"/>
                <w:sz w:val="18"/>
                <w:szCs w:val="18"/>
              </w:rPr>
              <w:t xml:space="preserve">If the wording reaches any customer-facing output, the change also goes through the Copilot Studio prompt-safety checks and CAB gate (Section 4).</w:t>
            </w:r>
          </w:p>
          <w:p>
            <w:pPr>
              <w:numPr>
                <w:ilvl w:val="0"/>
                <w:numId w:val="10"/>
              </w:numPr>
              <w:spacing w:before="0" w:after="0" w:line="252" w:lineRule="auto"/>
            </w:pPr>
            <w:r>
              <w:rPr>
                <w:rFonts w:ascii="Aptos" w:hAnsi="Aptos" w:cs="Aptos"/>
                <w:b w:val="0"/>
                <w:color w:val="1F2937"/>
                <w:sz w:val="18"/>
                <w:szCs w:val="18"/>
              </w:rPr>
              <w:t xml:space="preserve">Otherwise it is a pre-approved standard change.</w:t>
            </w:r>
          </w:p>
        </w:tc>
        <w:tc>
          <w:tcPr>
            <w:tcW w:type="dxa" w:w="2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Approves:</w:t>
            </w:r>
            <w:r>
              <w:rPr>
                <w:rFonts w:ascii="Aptos" w:hAnsi="Aptos" w:cs="Aptos"/>
                <w:b w:val="0"/>
                <w:color w:val="1F2937"/>
                <w:sz w:val="18"/>
                <w:szCs w:val="18"/>
              </w:rPr>
              <w:t xml:space="preserve"> ML Platform Engineering Lead.</w:t>
            </w:r>
          </w:p>
          <w:p>
            <w:pPr>
              <w:spacing w:before="0" w:after="0" w:line="252" w:lineRule="auto"/>
            </w:pPr>
            <w:r>
              <w:rPr>
                <w:rFonts w:ascii="Aptos" w:hAnsi="Aptos" w:cs="Aptos"/>
                <w:b/>
                <w:color w:val="1F2937"/>
                <w:sz w:val="18"/>
                <w:szCs w:val="18"/>
              </w:rPr>
              <w:t xml:space="preserve">Customer-reachable changes:</w:t>
            </w:r>
            <w:r>
              <w:rPr>
                <w:rFonts w:ascii="Aptos" w:hAnsi="Aptos" w:cs="Aptos"/>
                <w:b w:val="0"/>
                <w:color w:val="1F2937"/>
                <w:sz w:val="18"/>
                <w:szCs w:val="18"/>
              </w:rPr>
              <w:t xml:space="preserve"> Platform Product Owner through the CAB.</w:t>
            </w:r>
          </w:p>
        </w:tc>
      </w:tr>
    </w:tbl>
    <w:p>
      <w:pPr>
        <w:spacing w:after="40"/>
      </w:pPr>
    </w:p>
    <w:p>
      <w:pPr>
        <w:pStyle w:val="Heading3"/>
        <w:spacing w:after="120"/>
      </w:pPr>
      <w:r>
        <w:rPr>
          <w:rFonts w:ascii="Aptos" w:hAnsi="Aptos"/>
          <w:color w:val="1F2937"/>
          <w:sz w:val="22"/>
        </w:rPr>
        <w:t>Drift Detection Metric Table</w:t>
      </w:r>
    </w:p>
    <w:tbl>
      <w:tblPr>
        <w:tblW w:type="dxa" w:w="10512"/>
        <w:jc w:val="center"/>
        <w:tblLayout w:type="fixed"/>
        <w:tblLook w:firstColumn="1" w:firstRow="1" w:lastColumn="0" w:lastRow="0" w:noHBand="0" w:noVBand="1" w:val="04A0"/>
      </w:tblPr>
      <w:tblGrid>
        <w:gridCol w:w="1400"/>
        <w:gridCol w:w="2600"/>
        <w:gridCol w:w="2300"/>
        <w:gridCol w:w="2112"/>
        <w:gridCol w:w="2100"/>
      </w:tblGrid>
      <w:tr>
        <w:trPr>
          <w:cantSplit/>
          <w:tblHeader/>
        </w:trPr>
        <w:tc>
          <w:tcPr>
            <w:tcW w:type="dxa" w:w="14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Monitoring Metric</w:t>
            </w:r>
          </w:p>
        </w:tc>
        <w:tc>
          <w:tcPr>
            <w:tcW w:type="dxa" w:w="26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Why It Fits Financial Document Classification</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Statistical Method</w:t>
            </w:r>
          </w:p>
        </w:tc>
        <w:tc>
          <w:tcPr>
            <w:tcW w:type="dxa" w:w="21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Alerting Threshold</w:t>
            </w:r>
          </w:p>
        </w:tc>
        <w:tc>
          <w:tcPr>
            <w:tcW w:type="dxa" w:w="21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Alert Type</w:t>
            </w:r>
          </w:p>
        </w:tc>
      </w:tr>
      <w:tr>
        <w:trPr>
          <w:cantSplit/>
        </w:trPr>
        <w:tc>
          <w:tcPr>
            <w:tcW w:type="dxa" w:w="14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Document-class distribution shift</w:t>
            </w:r>
          </w:p>
        </w:tc>
        <w:tc>
          <w:tcPr>
            <w:tcW w:type="dxa" w:w="26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val="0"/>
                <w:color w:val="1F2937"/>
                <w:sz w:val="18"/>
                <w:szCs w:val="18"/>
              </w:rPr>
              <w:t xml:space="preserve">The mix of income, identity, collateral, disclosure and unsupported documents reflects Meridian’s applicants and products. A shift, such as more “unsupported document” results after a new pay-slip format or fewer self-employed income documents, signals a change in incoming documents before accuracy labels arrive. It can also delay applications for particular customer groups.</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Population Stability Index (PSI)</w:t>
            </w:r>
            <w:r>
              <w:rPr>
                <w:rFonts w:ascii="Aptos" w:hAnsi="Aptos" w:cs="Aptos"/>
                <w:b w:val="0"/>
                <w:color w:val="1F2937"/>
                <w:sz w:val="18"/>
                <w:szCs w:val="18"/>
              </w:rPr>
              <w:t xml:space="preserve"> on the five-class distribution, each week compared with the validation baseline.</w:t>
            </w:r>
          </w:p>
          <w:p>
            <w:pPr>
              <w:spacing w:before="0" w:after="0" w:line="252" w:lineRule="auto"/>
            </w:pPr>
            <w:r>
              <w:rPr>
                <w:rFonts w:ascii="Aptos" w:hAnsi="Aptos" w:cs="Aptos"/>
                <w:b w:val="0"/>
                <w:color w:val="1F2937"/>
                <w:sz w:val="18"/>
                <w:szCs w:val="18"/>
              </w:rPr>
              <w:t xml:space="preserve">Calculated overall and by segment (application type, region, employment type). A chi-square test confirms the shift is statistically significant.</w:t>
            </w:r>
          </w:p>
        </w:tc>
        <w:tc>
          <w:tcPr>
            <w:tcW w:type="dxa" w:w="21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Warning:</w:t>
            </w:r>
            <w:r>
              <w:rPr>
                <w:rFonts w:ascii="Aptos" w:hAnsi="Aptos" w:cs="Aptos"/>
                <w:b w:val="0"/>
                <w:color w:val="1F2937"/>
                <w:sz w:val="18"/>
                <w:szCs w:val="18"/>
              </w:rPr>
              <w:t xml:space="preserve"> PSI ≥ 0.10.</w:t>
            </w:r>
          </w:p>
          <w:p>
            <w:pPr>
              <w:spacing w:before="0" w:after="0" w:line="252" w:lineRule="auto"/>
            </w:pPr>
            <w:r>
              <w:rPr>
                <w:rFonts w:ascii="Aptos" w:hAnsi="Aptos" w:cs="Aptos"/>
                <w:b/>
                <w:color w:val="1F2937"/>
                <w:sz w:val="18"/>
                <w:szCs w:val="18"/>
              </w:rPr>
              <w:t xml:space="preserve">Critical:</w:t>
            </w:r>
            <w:r>
              <w:rPr>
                <w:rFonts w:ascii="Aptos" w:hAnsi="Aptos" w:cs="Aptos"/>
                <w:b w:val="0"/>
                <w:color w:val="1F2937"/>
                <w:sz w:val="18"/>
                <w:szCs w:val="18"/>
              </w:rPr>
              <w:t xml:space="preserve"> PSI ≥ 0.25 overall or in any segment, </w:t>
            </w:r>
            <w:r>
              <w:rPr>
                <w:rFonts w:ascii="Aptos" w:hAnsi="Aptos" w:cs="Aptos"/>
                <w:b/>
                <w:color w:val="1F2937"/>
                <w:sz w:val="18"/>
                <w:szCs w:val="18"/>
              </w:rPr>
              <w:t xml:space="preserve">or</w:t>
            </w:r>
            <w:r>
              <w:rPr>
                <w:rFonts w:ascii="Aptos" w:hAnsi="Aptos" w:cs="Aptos"/>
                <w:b w:val="0"/>
                <w:color w:val="1F2937"/>
                <w:sz w:val="18"/>
                <w:szCs w:val="18"/>
              </w:rPr>
              <w:t xml:space="preserve"> the “unsupported document” share up 50% on baseline.</w:t>
            </w:r>
          </w:p>
        </w:tc>
        <w:tc>
          <w:tcPr>
            <w:tcW w:type="dxa" w:w="21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Warning:</w:t>
            </w:r>
            <w:r>
              <w:rPr>
                <w:rFonts w:ascii="Aptos" w:hAnsi="Aptos" w:cs="Aptos"/>
                <w:b w:val="0"/>
                <w:color w:val="1F2937"/>
                <w:sz w:val="18"/>
                <w:szCs w:val="18"/>
              </w:rPr>
              <w:t xml:space="preserve"> automatic ticket to the model owner; triage within 5 business days.</w:t>
            </w:r>
          </w:p>
          <w:p>
            <w:pPr>
              <w:spacing w:before="0" w:after="0" w:line="252" w:lineRule="auto"/>
            </w:pPr>
            <w:r>
              <w:rPr>
                <w:rFonts w:ascii="Aptos" w:hAnsi="Aptos" w:cs="Aptos"/>
                <w:b/>
                <w:color w:val="1F2937"/>
                <w:sz w:val="18"/>
                <w:szCs w:val="18"/>
              </w:rPr>
              <w:t xml:space="preserve">Critical:</w:t>
            </w:r>
            <w:r>
              <w:rPr>
                <w:rFonts w:ascii="Aptos" w:hAnsi="Aptos" w:cs="Aptos"/>
                <w:b w:val="0"/>
                <w:color w:val="1F2937"/>
                <w:sz w:val="18"/>
                <w:szCs w:val="18"/>
              </w:rPr>
              <w:t xml:space="preserve"> incident raised to the model owner, MRM and platform on-call; rollback decision within 4 hours.</w:t>
            </w:r>
          </w:p>
        </w:tc>
      </w:tr>
      <w:tr>
        <w:trPr>
          <w:cantSplit/>
        </w:trPr>
        <w:tc>
          <w:tcPr>
            <w:tcW w:type="dxa" w:w="14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Confidence score distribution shift</w:t>
            </w:r>
          </w:p>
        </w:tc>
        <w:tc>
          <w:tcPr>
            <w:tcW w:type="dxa" w:w="26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val="0"/>
                <w:color w:val="1F2937"/>
                <w:sz w:val="18"/>
                <w:szCs w:val="18"/>
              </w:rPr>
              <w:t xml:space="preserve">Confidence moves before measured accuracy does, because reviewer labels arrive later. Confidence also decides which documents go to manual review: lower scores add workload and delays, and higher scores can hide confident misclassification. Watching self-employed income documents (lowest F1, 0.84) gives early warning of a fairness problem.</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Two-sample Kolmogorov–Smirnov (KS) test</w:t>
            </w:r>
            <w:r>
              <w:rPr>
                <w:rFonts w:ascii="Aptos" w:hAnsi="Aptos" w:cs="Aptos"/>
                <w:b w:val="0"/>
                <w:color w:val="1F2937"/>
                <w:sz w:val="18"/>
                <w:szCs w:val="18"/>
              </w:rPr>
              <w:t xml:space="preserve"> for each document class, run daily on a rolling 7-day window and compared with the baseline.</w:t>
            </w:r>
          </w:p>
          <w:p>
            <w:pPr>
              <w:spacing w:before="0" w:after="0" w:line="252" w:lineRule="auto"/>
            </w:pPr>
            <w:r>
              <w:rPr>
                <w:rFonts w:ascii="Aptos" w:hAnsi="Aptos" w:cs="Aptos"/>
                <w:b w:val="0"/>
                <w:color w:val="1F2937"/>
                <w:sz w:val="18"/>
                <w:szCs w:val="18"/>
              </w:rPr>
              <w:t xml:space="preserve">Thresholds use the KS D statistic (the size of the shift), because at high volumes almost any shift produces a tiny p-value.</w:t>
            </w:r>
          </w:p>
        </w:tc>
        <w:tc>
          <w:tcPr>
            <w:tcW w:type="dxa" w:w="21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Warning:</w:t>
            </w:r>
            <w:r>
              <w:rPr>
                <w:rFonts w:ascii="Aptos" w:hAnsi="Aptos" w:cs="Aptos"/>
                <w:b w:val="0"/>
                <w:color w:val="1F2937"/>
                <w:sz w:val="18"/>
                <w:szCs w:val="18"/>
              </w:rPr>
              <w:t xml:space="preserve"> D ≥ 0.10.</w:t>
            </w:r>
          </w:p>
          <w:p>
            <w:pPr>
              <w:spacing w:before="0" w:after="0" w:line="252" w:lineRule="auto"/>
            </w:pPr>
            <w:r>
              <w:rPr>
                <w:rFonts w:ascii="Aptos" w:hAnsi="Aptos" w:cs="Aptos"/>
                <w:b/>
                <w:color w:val="1F2937"/>
                <w:sz w:val="18"/>
                <w:szCs w:val="18"/>
              </w:rPr>
              <w:t xml:space="preserve">Critical:</w:t>
            </w:r>
            <w:r>
              <w:rPr>
                <w:rFonts w:ascii="Aptos" w:hAnsi="Aptos" w:cs="Aptos"/>
                <w:b w:val="0"/>
                <w:color w:val="1F2937"/>
                <w:sz w:val="18"/>
                <w:szCs w:val="18"/>
              </w:rPr>
              <w:t xml:space="preserve"> D ≥ 0.20 in any class or segment, </w:t>
            </w:r>
            <w:r>
              <w:rPr>
                <w:rFonts w:ascii="Aptos" w:hAnsi="Aptos" w:cs="Aptos"/>
                <w:b/>
                <w:color w:val="1F2937"/>
                <w:sz w:val="18"/>
                <w:szCs w:val="18"/>
              </w:rPr>
              <w:t xml:space="preserve">or</w:t>
            </w:r>
            <w:r>
              <w:rPr>
                <w:rFonts w:ascii="Aptos" w:hAnsi="Aptos" w:cs="Aptos"/>
                <w:b w:val="0"/>
                <w:color w:val="1F2937"/>
                <w:sz w:val="18"/>
                <w:szCs w:val="18"/>
              </w:rPr>
              <w:t xml:space="preserve"> the share of predictions below the review threshold up 5 percentage points.</w:t>
            </w:r>
          </w:p>
        </w:tc>
        <w:tc>
          <w:tcPr>
            <w:tcW w:type="dxa" w:w="21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Warning:</w:t>
            </w:r>
            <w:r>
              <w:rPr>
                <w:rFonts w:ascii="Aptos" w:hAnsi="Aptos" w:cs="Aptos"/>
                <w:b w:val="0"/>
                <w:color w:val="1F2937"/>
                <w:sz w:val="18"/>
                <w:szCs w:val="18"/>
              </w:rPr>
              <w:t xml:space="preserve"> automatic ticket to ML Engineering.</w:t>
            </w:r>
          </w:p>
          <w:p>
            <w:pPr>
              <w:spacing w:before="0" w:after="0" w:line="252" w:lineRule="auto"/>
            </w:pPr>
            <w:r>
              <w:rPr>
                <w:rFonts w:ascii="Aptos" w:hAnsi="Aptos" w:cs="Aptos"/>
                <w:b/>
                <w:color w:val="1F2937"/>
                <w:sz w:val="18"/>
                <w:szCs w:val="18"/>
              </w:rPr>
              <w:t xml:space="preserve">Critical:</w:t>
            </w:r>
            <w:r>
              <w:rPr>
                <w:rFonts w:ascii="Aptos" w:hAnsi="Aptos" w:cs="Aptos"/>
                <w:b w:val="0"/>
                <w:color w:val="1F2937"/>
                <w:sz w:val="18"/>
                <w:szCs w:val="18"/>
              </w:rPr>
              <w:t xml:space="preserve"> incident raised to the model owner and MRM; starts a shadow comparison with the previous (N-1) model.</w:t>
            </w:r>
          </w:p>
        </w:tc>
      </w:tr>
      <w:tr>
        <w:trPr>
          <w:cantSplit/>
        </w:trPr>
        <w:tc>
          <w:tcPr>
            <w:tcW w:type="dxa" w:w="14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Reviewer override-rate change</w:t>
            </w:r>
          </w:p>
        </w:tc>
        <w:tc>
          <w:tcPr>
            <w:tcW w:type="dxa" w:w="26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val="0"/>
                <w:color w:val="1F2937"/>
                <w:sz w:val="18"/>
                <w:szCs w:val="18"/>
              </w:rPr>
              <w:t xml:space="preserve">Human reviewer overrides are the closest thing to real-world ground truth (baseline 8.7%). A rising rate means the model is wrong more often. A rise in one document group is a direct signal of the performance disparity that the regulated context requires Meridian to monitor.</w:t>
            </w:r>
          </w:p>
        </w:tc>
        <w:tc>
          <w:tcPr>
            <w:tcW w:type="dxa" w:w="23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p-chart (statistical process control)</w:t>
            </w:r>
            <w:r>
              <w:rPr>
                <w:rFonts w:ascii="Aptos" w:hAnsi="Aptos" w:cs="Aptos"/>
                <w:b w:val="0"/>
                <w:color w:val="1F2937"/>
                <w:sz w:val="18"/>
                <w:szCs w:val="18"/>
              </w:rPr>
              <w:t xml:space="preserve"> of the weekly override rate, with 3-sigma limits around the 8.7% baseline.</w:t>
            </w:r>
          </w:p>
          <w:p>
            <w:pPr>
              <w:spacing w:before="0" w:after="0" w:line="252" w:lineRule="auto"/>
            </w:pPr>
            <w:r>
              <w:rPr>
                <w:rFonts w:ascii="Aptos" w:hAnsi="Aptos" w:cs="Aptos"/>
                <w:b/>
                <w:color w:val="1F2937"/>
                <w:sz w:val="18"/>
                <w:szCs w:val="18"/>
              </w:rPr>
              <w:t xml:space="preserve">Two-proportion z-test</w:t>
            </w:r>
            <w:r>
              <w:rPr>
                <w:rFonts w:ascii="Aptos" w:hAnsi="Aptos" w:cs="Aptos"/>
                <w:b w:val="0"/>
                <w:color w:val="1F2937"/>
                <w:sz w:val="18"/>
                <w:szCs w:val="18"/>
              </w:rPr>
              <w:t xml:space="preserve"> comparing each segment with the overall rate, to detect disparity.</w:t>
            </w:r>
          </w:p>
        </w:tc>
        <w:tc>
          <w:tcPr>
            <w:tcW w:type="dxa" w:w="21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Warning:</w:t>
            </w:r>
            <w:r>
              <w:rPr>
                <w:rFonts w:ascii="Aptos" w:hAnsi="Aptos" w:cs="Aptos"/>
                <w:b w:val="0"/>
                <w:color w:val="1F2937"/>
                <w:sz w:val="18"/>
                <w:szCs w:val="18"/>
              </w:rPr>
              <w:t xml:space="preserve"> above 10.7% (baseline + 2 points) for 2 weeks in a row.</w:t>
            </w:r>
          </w:p>
          <w:p>
            <w:pPr>
              <w:spacing w:before="0" w:after="0" w:line="252" w:lineRule="auto"/>
            </w:pPr>
            <w:r>
              <w:rPr>
                <w:rFonts w:ascii="Aptos" w:hAnsi="Aptos" w:cs="Aptos"/>
                <w:b/>
                <w:color w:val="1F2937"/>
                <w:sz w:val="18"/>
                <w:szCs w:val="18"/>
              </w:rPr>
              <w:t xml:space="preserve">Critical:</w:t>
            </w:r>
            <w:r>
              <w:rPr>
                <w:rFonts w:ascii="Aptos" w:hAnsi="Aptos" w:cs="Aptos"/>
                <w:b w:val="0"/>
                <w:color w:val="1F2937"/>
                <w:sz w:val="18"/>
                <w:szCs w:val="18"/>
              </w:rPr>
              <w:t xml:space="preserve"> above 12.7% in any week, </w:t>
            </w:r>
            <w:r>
              <w:rPr>
                <w:rFonts w:ascii="Aptos" w:hAnsi="Aptos" w:cs="Aptos"/>
                <w:b/>
                <w:color w:val="1F2937"/>
                <w:sz w:val="18"/>
                <w:szCs w:val="18"/>
              </w:rPr>
              <w:t xml:space="preserve">or</w:t>
            </w:r>
            <w:r>
              <w:rPr>
                <w:rFonts w:ascii="Aptos" w:hAnsi="Aptos" w:cs="Aptos"/>
                <w:b w:val="0"/>
                <w:color w:val="1F2937"/>
                <w:sz w:val="18"/>
                <w:szCs w:val="18"/>
              </w:rPr>
              <w:t xml:space="preserve"> any segment’s rate at least 1.25 times the overall rate (p &lt; 0.01).</w:t>
            </w:r>
          </w:p>
        </w:tc>
        <w:tc>
          <w:tcPr>
            <w:tcW w:type="dxa" w:w="21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Warning:</w:t>
            </w:r>
            <w:r>
              <w:rPr>
                <w:rFonts w:ascii="Aptos" w:hAnsi="Aptos" w:cs="Aptos"/>
                <w:b w:val="0"/>
                <w:color w:val="1F2937"/>
                <w:sz w:val="18"/>
                <w:szCs w:val="18"/>
              </w:rPr>
              <w:t xml:space="preserve"> review by the model owner.</w:t>
            </w:r>
          </w:p>
          <w:p>
            <w:pPr>
              <w:spacing w:before="0" w:after="0" w:line="252" w:lineRule="auto"/>
            </w:pPr>
            <w:r>
              <w:rPr>
                <w:rFonts w:ascii="Aptos" w:hAnsi="Aptos" w:cs="Aptos"/>
                <w:b/>
                <w:color w:val="1F2937"/>
                <w:sz w:val="18"/>
                <w:szCs w:val="18"/>
              </w:rPr>
              <w:t xml:space="preserve">Critical (fairness):</w:t>
            </w:r>
            <w:r>
              <w:rPr>
                <w:rFonts w:ascii="Aptos" w:hAnsi="Aptos" w:cs="Aptos"/>
                <w:b w:val="0"/>
                <w:color w:val="1F2937"/>
                <w:sz w:val="18"/>
                <w:szCs w:val="18"/>
              </w:rPr>
              <w:t xml:space="preserve"> incident raised to MRM and Compliance; a fairness review opens and a Foundry rollback is considered (Section 4).</w:t>
            </w:r>
          </w:p>
        </w:tc>
      </w:tr>
    </w:tbl>
    <w:p>
      <w:pPr>
        <w:spacing w:after="40"/>
      </w:pPr>
    </w:p>
    <w:p>
      <w:pPr>
        <w:pStyle w:val="Heading3"/>
        <w:spacing w:after="120"/>
      </w:pPr>
      <w:r>
        <w:rPr>
          <w:rFonts w:ascii="Aptos" w:hAnsi="Aptos"/>
          <w:color w:val="1F2937"/>
          <w:sz w:val="22"/>
        </w:rPr>
        <w:t>Analytical Content (150-250 words)</w:t>
      </w:r>
    </w:p>
    <w:tbl>
      <w:tblPr>
        <w:tblW w:type="dxa" w:w="10512"/>
        <w:jc w:val="center"/>
        <w:tblLayout w:type="fixed"/>
        <w:tblLook w:firstColumn="1" w:firstRow="1" w:lastColumn="0" w:lastRow="0" w:noHBand="0" w:noVBand="1" w:val="04A0"/>
      </w:tblPr>
      <w:tblGrid>
        <w:gridCol w:w="10512"/>
      </w:tblGrid>
      <w:tr>
        <w:tc>
          <w:tcPr>
            <w:tcW w:type="dxa" w:w="105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FCFCFD"/>
            <w:tcMar>
              <w:top w:w="120" w:type="dxa"/>
              <w:left w:w="160" w:type="dxa"/>
              <w:bottom w:w="120" w:type="dxa"/>
              <w:right w:w="160" w:type="dxa"/>
            </w:tcMar>
          </w:tcPr>
          <w:p>
            <w:pPr>
              <w:spacing w:before="0" w:after="140" w:line="264" w:lineRule="auto"/>
            </w:pPr>
            <w:r>
              <w:rPr>
                <w:rFonts w:ascii="Aptos" w:hAnsi="Aptos" w:cs="Aptos"/>
                <w:b w:val="0"/>
                <w:color w:val="1F2937"/>
                <w:sz w:val="20"/>
                <w:szCs w:val="20"/>
              </w:rPr>
              <w:t xml:space="preserve">The Foundry model does not make credit decisions. It does decide how quickly and reliably an application’s documents are recognized as complete, which affects time-to-decision differently for different customer groups. The versioning scheme therefore keys on downstream meaning, not engineering effort. A major version changes what an output means, whether that is the class taxonomy, the decisioning workflow or the supported document groups, so it receives full Model Risk Management validation, a shadow run and fresh drift baselines. A minor version changes only how well the model performs against unchanged categories, so targeted segment comparison suffices. A patch must prove it changes nothing. A behavioral-equivalence test is a hard gate, and a failed test automatically reclassifies the change as minor. This matters because rewording a prompt in an agent workflow can change classifications even when the intent was cosmetic.</w:t>
            </w:r>
          </w:p>
          <w:p>
            <w:pPr>
              <w:spacing w:before="0" w:after="0" w:line="264" w:lineRule="auto"/>
            </w:pPr>
            <w:r>
              <w:rPr>
                <w:rFonts w:ascii="Aptos" w:hAnsi="Aptos" w:cs="Aptos"/>
                <w:b w:val="0"/>
                <w:color w:val="1F2937"/>
                <w:sz w:val="20"/>
                <w:szCs w:val="20"/>
              </w:rPr>
              <w:t xml:space="preserve">Drift detection combines two early warnings that need no labels with one ground-truth measure. Class-mix and confidence shifts reveal changes in incoming documents weeks before reviewer labels accumulate, and the override rate confirms whether those shifts are hurting accuracy. Every metric is calculated per segment as well as overall, because the 0.84 F1 for self-employed income documents shows that aggregate performance can hide a weaker group, and self-employment can correlate with protected or proxy characteristics. Critical alerts go to Model Risk Management and Compliance and are wired to rollback, so a fairness signal leads to a decision, not just a dashboard entry.</w:t>
            </w:r>
          </w:p>
        </w:tc>
      </w:tr>
    </w:tbl>
    <w:p>
      <w:pPr>
        <w:spacing w:after="80"/>
      </w:pPr>
    </w:p>
    <w:p>
      <w:pPr>
        <w:pStyle w:val="Heading2"/>
        <w:spacing w:after="120"/>
        <w:pBdr>
          <w:bottom w:val="single" w:sz="6" w:space="4" w:color="CBD5E1"/>
        </w:pBdr>
      </w:pPr>
      <w:r>
        <w:rPr>
          <w:rFonts w:ascii="Aptos" w:hAnsi="Aptos"/>
          <w:color w:val="1F2937"/>
          <w:sz w:val="28"/>
        </w:rPr>
        <w:t>4. Integration Consistency Summary</w:t>
      </w:r>
    </w:p>
    <w:p>
      <w:pPr>
        <w:pStyle w:val="Heading3"/>
        <w:spacing w:after="120"/>
      </w:pPr>
      <w:r>
        <w:rPr>
          <w:rFonts w:ascii="Aptos" w:hAnsi="Aptos"/>
          <w:color w:val="1F2937"/>
          <w:sz w:val="22"/>
        </w:rPr>
        <w:t>Integration Consistency Checklist</w:t>
      </w:r>
    </w:p>
    <w:tbl>
      <w:tblPr>
        <w:tblW w:type="dxa" w:w="10512"/>
        <w:jc w:val="center"/>
        <w:tblLayout w:type="fixed"/>
        <w:tblLook w:firstColumn="1" w:firstRow="1" w:lastColumn="0" w:lastRow="0" w:noHBand="0" w:noVBand="1" w:val="04A0"/>
      </w:tblPr>
      <w:tblGrid>
        <w:gridCol w:w="2000"/>
        <w:gridCol w:w="1500"/>
        <w:gridCol w:w="3512"/>
        <w:gridCol w:w="3500"/>
      </w:tblGrid>
      <w:tr>
        <w:trPr>
          <w:cantSplit/>
          <w:tblHeader/>
        </w:trPr>
        <w:tc>
          <w:tcPr>
            <w:tcW w:type="dxa" w:w="2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Cross-Component Check</w:t>
            </w:r>
          </w:p>
        </w:tc>
        <w:tc>
          <w:tcPr>
            <w:tcW w:type="dxa" w:w="1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Compliant / Gap</w:t>
            </w:r>
          </w:p>
        </w:tc>
        <w:tc>
          <w:tcPr>
            <w:tcW w:type="dxa" w:w="35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Evidence</w:t>
            </w:r>
          </w:p>
        </w:tc>
        <w:tc>
          <w:tcPr>
            <w:tcW w:type="dxa" w:w="3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Resolution if Gap Exists</w:t>
            </w:r>
          </w:p>
        </w:tc>
      </w:tr>
      <w:tr>
        <w:trPr>
          <w:cantSplit/>
        </w:trPr>
        <w:tc>
          <w:tcPr>
            <w:tcW w:type="dxa" w:w="2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Deployment pipelines cover D365, Power Apps, Copilot Studio, and Microsoft Foundry components</w:t>
            </w:r>
          </w:p>
        </w:tc>
        <w:tc>
          <w:tcPr>
            <w:tcW w:type="dxa" w:w="1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val="clear" w:color="auto" w:fill="FFF4E5"/>
            <w:vAlign w:val="top"/>
          </w:tcPr>
          <w:p>
            <w:pPr>
              <w:spacing w:before="0" w:after="50" w:line="252" w:lineRule="auto"/>
            </w:pPr>
            <w:r>
              <w:rPr>
                <w:rFonts w:ascii="Aptos" w:hAnsi="Aptos" w:cs="Aptos"/>
                <w:b/>
                <w:color w:val="1F2937"/>
                <w:sz w:val="18"/>
                <w:szCs w:val="18"/>
              </w:rPr>
              <w:t xml:space="preserve">Gap: partial coverage</w:t>
            </w:r>
          </w:p>
          <w:p>
            <w:pPr>
              <w:spacing w:before="0" w:after="0" w:line="252" w:lineRule="auto"/>
            </w:pPr>
            <w:r>
              <w:rPr>
                <w:rFonts w:ascii="Aptos" w:hAnsi="Aptos" w:cs="Aptos"/>
                <w:b w:val="0"/>
                <w:color w:val="1F2937"/>
                <w:sz w:val="18"/>
                <w:szCs w:val="18"/>
              </w:rPr>
              <w:t xml:space="preserve">Resolved by design; pre-launch condition</w:t>
            </w:r>
          </w:p>
        </w:tc>
        <w:tc>
          <w:tcPr>
            <w:tcW w:type="dxa" w:w="35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Copilot Studio agents and Power Apps AI Hub components move from development through production as managed solutions. Two components are not covered:</w:t>
            </w:r>
          </w:p>
          <w:p>
            <w:pPr>
              <w:numPr>
                <w:ilvl w:val="0"/>
                <w:numId w:val="10"/>
              </w:numPr>
              <w:spacing w:before="0" w:after="30" w:line="252" w:lineRule="auto"/>
            </w:pPr>
            <w:r>
              <w:rPr>
                <w:rFonts w:ascii="Aptos" w:hAnsi="Aptos" w:cs="Aptos"/>
                <w:b/>
                <w:color w:val="1F2937"/>
                <w:sz w:val="18"/>
                <w:szCs w:val="18"/>
              </w:rPr>
              <w:t xml:space="preserve">D365 routing and knowledge:</w:t>
            </w:r>
            <w:r>
              <w:rPr>
                <w:rFonts w:ascii="Aptos" w:hAnsi="Aptos" w:cs="Aptos"/>
                <w:b w:val="0"/>
                <w:color w:val="1F2937"/>
                <w:sz w:val="18"/>
                <w:szCs w:val="18"/>
              </w:rPr>
              <w:t xml:space="preserve"> unified routing configuration (queues, workstreams, routing rulesets) and approved knowledge articles are Dataverse records, not solution components, so solution import does not carry them.</w:t>
            </w:r>
          </w:p>
          <w:p>
            <w:pPr>
              <w:numPr>
                <w:ilvl w:val="0"/>
                <w:numId w:val="10"/>
              </w:numPr>
              <w:spacing w:before="0" w:after="0" w:line="252" w:lineRule="auto"/>
            </w:pPr>
            <w:r>
              <w:rPr>
                <w:rFonts w:ascii="Aptos" w:hAnsi="Aptos" w:cs="Aptos"/>
                <w:b/>
                <w:color w:val="1F2937"/>
                <w:sz w:val="18"/>
                <w:szCs w:val="18"/>
              </w:rPr>
              <w:t xml:space="preserve">Foundry model:</w:t>
            </w:r>
            <w:r>
              <w:rPr>
                <w:rFonts w:ascii="Aptos" w:hAnsi="Aptos" w:cs="Aptos"/>
                <w:b w:val="0"/>
                <w:color w:val="1F2937"/>
                <w:sz w:val="18"/>
                <w:szCs w:val="18"/>
              </w:rPr>
              <w:t xml:space="preserve"> it is versioned and promoted inside Foundry with no link to the Power Platform release, so the model in production cannot be tied to the release the CAB approved.</w:t>
            </w:r>
          </w:p>
        </w:tc>
        <w:tc>
          <w:tcPr>
            <w:tcW w:type="dxa" w:w="3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One release train under one CAB change record:</w:t>
            </w:r>
          </w:p>
          <w:p>
            <w:pPr>
              <w:numPr>
                <w:ilvl w:val="0"/>
                <w:numId w:val="10"/>
              </w:numPr>
              <w:spacing w:before="0" w:after="30" w:line="252" w:lineRule="auto"/>
            </w:pPr>
            <w:r>
              <w:rPr>
                <w:rFonts w:ascii="Aptos" w:hAnsi="Aptos" w:cs="Aptos"/>
                <w:b w:val="0"/>
                <w:color w:val="1F2937"/>
                <w:sz w:val="18"/>
                <w:szCs w:val="18"/>
              </w:rPr>
              <w:t xml:space="preserve">Routing configuration and knowledge articles move as Configuration Migration tool data packages in the same pipeline stage. Record IDs are preserved, so the escalation queue IDs in environment variables stay valid. Articles are published only through the Compliance approval workflow.</w:t>
            </w:r>
          </w:p>
          <w:p>
            <w:pPr>
              <w:numPr>
                <w:ilvl w:val="0"/>
                <w:numId w:val="10"/>
              </w:numPr>
              <w:spacing w:before="0" w:after="30" w:line="252" w:lineRule="auto"/>
            </w:pPr>
            <w:r>
              <w:rPr>
                <w:rFonts w:ascii="Aptos" w:hAnsi="Aptos" w:cs="Aptos"/>
                <w:b w:val="0"/>
                <w:color w:val="1F2937"/>
                <w:sz w:val="18"/>
                <w:szCs w:val="18"/>
              </w:rPr>
              <w:t xml:space="preserve">The Foundry deployment name and version are pinned in a Power Platform environment variable that only the pipeline can change.</w:t>
            </w:r>
          </w:p>
          <w:p>
            <w:pPr>
              <w:numPr>
                <w:ilvl w:val="0"/>
                <w:numId w:val="10"/>
              </w:numPr>
              <w:spacing w:before="0" w:after="0" w:line="252" w:lineRule="auto"/>
            </w:pPr>
            <w:r>
              <w:rPr>
                <w:rFonts w:ascii="Aptos" w:hAnsi="Aptos" w:cs="Aptos"/>
                <w:b w:val="0"/>
                <w:color w:val="1F2937"/>
                <w:sz w:val="18"/>
                <w:szCs w:val="18"/>
              </w:rPr>
              <w:t xml:space="preserve">A release manifest records the version of every component.</w:t>
            </w:r>
          </w:p>
        </w:tc>
      </w:tr>
      <w:tr>
        <w:trPr>
          <w:cantSplit/>
        </w:trPr>
        <w:tc>
          <w:tcPr>
            <w:tcW w:type="dxa" w:w="2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WAF remediation aligns with Copilot Studio ALM security controls</w:t>
            </w:r>
          </w:p>
        </w:tc>
        <w:tc>
          <w:tcPr>
            <w:tcW w:type="dxa" w:w="1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val="clear" w:color="auto" w:fill="E9F7EF"/>
            <w:vAlign w:val="top"/>
          </w:tcPr>
          <w:p>
            <w:pPr>
              <w:spacing w:before="0" w:after="50" w:line="252" w:lineRule="auto"/>
            </w:pPr>
            <w:r>
              <w:rPr>
                <w:rFonts w:ascii="Aptos" w:hAnsi="Aptos" w:cs="Aptos"/>
                <w:b/>
                <w:color w:val="1F2937"/>
                <w:sz w:val="18"/>
                <w:szCs w:val="18"/>
              </w:rPr>
              <w:t xml:space="preserve">Compliant</w:t>
            </w:r>
          </w:p>
          <w:p>
            <w:pPr>
              <w:spacing w:before="0" w:after="0" w:line="252" w:lineRule="auto"/>
            </w:pPr>
            <w:r>
              <w:rPr>
                <w:rFonts w:ascii="Aptos" w:hAnsi="Aptos" w:cs="Aptos"/>
                <w:b w:val="0"/>
                <w:color w:val="1F2937"/>
                <w:sz w:val="18"/>
                <w:szCs w:val="18"/>
              </w:rPr>
              <w:t xml:space="preserve">Once the Section 1 fix is applied</w:t>
            </w:r>
          </w:p>
        </w:tc>
        <w:tc>
          <w:tcPr>
            <w:tcW w:type="dxa" w:w="35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The flow’s broad service account is replaced by a Dataverse connection reference inside the solution. This is the same control the Copilot Studio environment strategy requires for Dataverse, SharePoint and the LOS status API.</w:t>
            </w:r>
          </w:p>
          <w:p>
            <w:pPr>
              <w:spacing w:before="0" w:after="0" w:line="252" w:lineRule="auto"/>
            </w:pPr>
            <w:r>
              <w:rPr>
                <w:rFonts w:ascii="Aptos" w:hAnsi="Aptos" w:cs="Aptos"/>
                <w:b w:val="0"/>
                <w:color w:val="1F2937"/>
                <w:sz w:val="18"/>
                <w:szCs w:val="18"/>
              </w:rPr>
              <w:t xml:space="preserve">No credential moves into environment variables. The connection reference is checked in rollback step 4 and in the security regression tests the CAB requires.</w:t>
            </w:r>
          </w:p>
        </w:tc>
        <w:tc>
          <w:tcPr>
            <w:tcW w:type="dxa" w:w="3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val="0"/>
                <w:color w:val="1F2937"/>
                <w:sz w:val="18"/>
                <w:szCs w:val="18"/>
              </w:rPr>
              <w:t xml:space="preserve">No gap remains. Ongoing control: a DLP policy blocks the old service-account connection in production, and the security regression test fails any solution that connects without a connection reference.</w:t>
            </w:r>
          </w:p>
        </w:tc>
      </w:tr>
      <w:tr>
        <w:trPr>
          <w:cantSplit/>
        </w:trPr>
        <w:tc>
          <w:tcPr>
            <w:tcW w:type="dxa" w:w="2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0" w:line="252" w:lineRule="auto"/>
            </w:pPr>
            <w:r>
              <w:rPr>
                <w:rFonts w:ascii="Aptos" w:hAnsi="Aptos" w:cs="Aptos"/>
                <w:b/>
                <w:color w:val="1F2937"/>
                <w:sz w:val="18"/>
                <w:szCs w:val="18"/>
              </w:rPr>
              <w:t xml:space="preserve">Drift detection connects to Microsoft Foundry rollback procedures</w:t>
            </w:r>
          </w:p>
        </w:tc>
        <w:tc>
          <w:tcPr>
            <w:tcW w:type="dxa" w:w="1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val="clear" w:color="auto" w:fill="FFF4E5"/>
            <w:vAlign w:val="top"/>
          </w:tcPr>
          <w:p>
            <w:pPr>
              <w:spacing w:before="0" w:after="50" w:line="252" w:lineRule="auto"/>
            </w:pPr>
            <w:r>
              <w:rPr>
                <w:rFonts w:ascii="Aptos" w:hAnsi="Aptos" w:cs="Aptos"/>
                <w:b/>
                <w:color w:val="1F2937"/>
                <w:sz w:val="18"/>
                <w:szCs w:val="18"/>
              </w:rPr>
              <w:t xml:space="preserve">Gap</w:t>
            </w:r>
          </w:p>
          <w:p>
            <w:pPr>
              <w:spacing w:before="0" w:after="0" w:line="252" w:lineRule="auto"/>
            </w:pPr>
            <w:r>
              <w:rPr>
                <w:rFonts w:ascii="Aptos" w:hAnsi="Aptos" w:cs="Aptos"/>
                <w:b w:val="0"/>
                <w:color w:val="1F2937"/>
                <w:sz w:val="18"/>
                <w:szCs w:val="18"/>
              </w:rPr>
              <w:t xml:space="preserve">Resolved by design; pre-launch condition</w:t>
            </w:r>
          </w:p>
        </w:tc>
        <w:tc>
          <w:tcPr>
            <w:tcW w:type="dxa" w:w="35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val="0"/>
                <w:color w:val="1F2937"/>
                <w:sz w:val="18"/>
                <w:szCs w:val="18"/>
              </w:rPr>
              <w:t xml:space="preserve">Drift metrics are defined (Section 3), but two links are missing:</w:t>
            </w:r>
          </w:p>
          <w:p>
            <w:pPr>
              <w:numPr>
                <w:ilvl w:val="0"/>
                <w:numId w:val="10"/>
              </w:numPr>
              <w:spacing w:before="0" w:after="30" w:line="252" w:lineRule="auto"/>
            </w:pPr>
            <w:r>
              <w:rPr>
                <w:rFonts w:ascii="Aptos" w:hAnsi="Aptos" w:cs="Aptos"/>
                <w:b/>
                <w:color w:val="1F2937"/>
                <w:sz w:val="18"/>
                <w:szCs w:val="18"/>
              </w:rPr>
              <w:t xml:space="preserve">No model rollback:</w:t>
            </w:r>
            <w:r>
              <w:rPr>
                <w:rFonts w:ascii="Aptos" w:hAnsi="Aptos" w:cs="Aptos"/>
                <w:b w:val="0"/>
                <w:color w:val="1F2937"/>
                <w:sz w:val="18"/>
                <w:szCs w:val="18"/>
              </w:rPr>
              <w:t xml:space="preserve"> the rollback procedure restores only Copilot Studio solutions and prompt/environment values. There is no way to roll back the model version.</w:t>
            </w:r>
          </w:p>
          <w:p>
            <w:pPr>
              <w:numPr>
                <w:ilvl w:val="0"/>
                <w:numId w:val="10"/>
              </w:numPr>
              <w:spacing w:before="0" w:after="0" w:line="252" w:lineRule="auto"/>
            </w:pPr>
            <w:r>
              <w:rPr>
                <w:rFonts w:ascii="Aptos" w:hAnsi="Aptos" w:cs="Aptos"/>
                <w:b/>
                <w:color w:val="1F2937"/>
                <w:sz w:val="18"/>
                <w:szCs w:val="18"/>
              </w:rPr>
              <w:t xml:space="preserve">No version in telemetry:</w:t>
            </w:r>
            <w:r>
              <w:rPr>
                <w:rFonts w:ascii="Aptos" w:hAnsi="Aptos" w:cs="Aptos"/>
                <w:b w:val="0"/>
                <w:color w:val="1F2937"/>
                <w:sz w:val="18"/>
                <w:szCs w:val="18"/>
              </w:rPr>
              <w:t xml:space="preserve"> the canvas app’s Missing Document Classifier uses the same document categories as the Foundry model but does not log the model version. A drift alert therefore cannot be traced to the version that caused it.</w:t>
            </w:r>
          </w:p>
        </w:tc>
        <w:tc>
          <w:tcPr>
            <w:tcW w:type="dxa" w:w="35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numPr>
                <w:ilvl w:val="0"/>
                <w:numId w:val="10"/>
              </w:numPr>
              <w:spacing w:before="0" w:after="30" w:line="252" w:lineRule="auto"/>
            </w:pPr>
            <w:r>
              <w:rPr>
                <w:rFonts w:ascii="Aptos" w:hAnsi="Aptos" w:cs="Aptos"/>
                <w:b w:val="0"/>
                <w:color w:val="1F2937"/>
                <w:sz w:val="18"/>
                <w:szCs w:val="18"/>
              </w:rPr>
              <w:t xml:space="preserve">Every classification records the model version and deployment ID in telemetry (patch release, before launch).</w:t>
            </w:r>
          </w:p>
          <w:p>
            <w:pPr>
              <w:numPr>
                <w:ilvl w:val="0"/>
                <w:numId w:val="10"/>
              </w:numPr>
              <w:spacing w:before="0" w:after="30" w:line="252" w:lineRule="auto"/>
            </w:pPr>
            <w:r>
              <w:rPr>
                <w:rFonts w:ascii="Aptos" w:hAnsi="Aptos" w:cs="Aptos"/>
                <w:b w:val="0"/>
                <w:color w:val="1F2937"/>
                <w:sz w:val="18"/>
                <w:szCs w:val="18"/>
              </w:rPr>
              <w:t xml:space="preserve">The previous approved (N-1) model version stays deployed and ready in Foundry.</w:t>
            </w:r>
          </w:p>
          <w:p>
            <w:pPr>
              <w:numPr>
                <w:ilvl w:val="0"/>
                <w:numId w:val="10"/>
              </w:numPr>
              <w:spacing w:before="0" w:after="30" w:line="252" w:lineRule="auto"/>
            </w:pPr>
            <w:r>
              <w:rPr>
                <w:rFonts w:ascii="Aptos" w:hAnsi="Aptos" w:cs="Aptos"/>
                <w:b w:val="0"/>
                <w:color w:val="1F2937"/>
                <w:sz w:val="18"/>
                <w:szCs w:val="18"/>
              </w:rPr>
              <w:t xml:space="preserve">A critical drift alert opens an incident; the pinned version is switched back to N-1 through the pre-approved rollback change, within 60 minutes.</w:t>
            </w:r>
          </w:p>
          <w:p>
            <w:pPr>
              <w:numPr>
                <w:ilvl w:val="0"/>
                <w:numId w:val="10"/>
              </w:numPr>
              <w:spacing w:before="0" w:after="0" w:line="252" w:lineRule="auto"/>
            </w:pPr>
            <w:r>
              <w:rPr>
                <w:rFonts w:ascii="Aptos" w:hAnsi="Aptos" w:cs="Aptos"/>
                <w:b w:val="0"/>
                <w:color w:val="1F2937"/>
                <w:sz w:val="18"/>
                <w:szCs w:val="18"/>
              </w:rPr>
              <w:t xml:space="preserve">During the investigation, all documents go to manual review. Documents classified during the alert window are queued for review again.</w:t>
            </w:r>
          </w:p>
        </w:tc>
      </w:tr>
    </w:tbl>
    <w:p>
      <w:pPr>
        <w:spacing w:after="40"/>
      </w:pPr>
    </w:p>
    <w:p>
      <w:pPr>
        <w:pStyle w:val="Heading3"/>
        <w:spacing w:after="120"/>
      </w:pPr>
      <w:r>
        <w:rPr>
          <w:rFonts w:ascii="Aptos" w:hAnsi="Aptos"/>
          <w:color w:val="1F2937"/>
          <w:sz w:val="22"/>
        </w:rPr>
        <w:t>Cross-Component Governance Tension</w:t>
      </w:r>
    </w:p>
    <w:tbl>
      <w:tblPr>
        <w:tblW w:type="dxa" w:w="10512"/>
        <w:jc w:val="center"/>
        <w:tblLayout w:type="fixed"/>
        <w:tblLook w:firstColumn="1" w:firstRow="1" w:lastColumn="0" w:lastRow="0" w:noHBand="0" w:noVBand="1" w:val="04A0"/>
      </w:tblPr>
      <w:tblGrid>
        <w:gridCol w:w="2700"/>
        <w:gridCol w:w="1700"/>
        <w:gridCol w:w="3112"/>
        <w:gridCol w:w="3000"/>
      </w:tblGrid>
      <w:tr>
        <w:trPr>
          <w:cantSplit/>
          <w:tblHeader/>
        </w:trPr>
        <w:tc>
          <w:tcPr>
            <w:tcW w:type="dxa" w:w="2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Tension Identified</w:t>
            </w:r>
          </w:p>
        </w:tc>
        <w:tc>
          <w:tcPr>
            <w:tcW w:type="dxa" w:w="1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Components Affected</w:t>
            </w:r>
          </w:p>
        </w:tc>
        <w:tc>
          <w:tcPr>
            <w:tcW w:type="dxa" w:w="31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Resolution Applied</w:t>
            </w:r>
          </w:p>
        </w:tc>
        <w:tc>
          <w:tcPr>
            <w:tcW w:type="dxa" w:w="3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EAF2F8"/>
            <w:vAlign w:val="top"/>
          </w:tcPr>
          <w:p>
            <w:pPr>
              <w:spacing w:after="0"/>
            </w:pPr>
            <w:r/>
            <w:r>
              <w:rPr>
                <w:rFonts w:ascii="Aptos" w:hAnsi="Aptos"/>
                <w:b/>
                <w:color w:val="17365D"/>
                <w:sz w:val="20"/>
              </w:rPr>
              <w:t>What the Resolution Ensures</w:t>
            </w:r>
          </w:p>
        </w:tc>
      </w:tr>
      <w:tr>
        <w:trPr>
          <w:cantSplit/>
        </w:trPr>
        <w:tc>
          <w:tcPr>
            <w:tcW w:type="dxa" w:w="2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A Foundry “patch” can change what customers are told without passing the CAB.</w:t>
            </w:r>
          </w:p>
          <w:p>
            <w:pPr>
              <w:spacing w:before="0" w:after="50" w:line="252" w:lineRule="auto"/>
            </w:pPr>
            <w:r>
              <w:rPr>
                <w:rFonts w:ascii="Aptos" w:hAnsi="Aptos" w:cs="Aptos"/>
                <w:b w:val="0"/>
                <w:color w:val="1F2937"/>
                <w:sz w:val="18"/>
                <w:szCs w:val="18"/>
              </w:rPr>
              <w:t xml:space="preserve">Foundry’s lifecycle rules treat prompt-wording changes as a patch, the lightest promotion path. Copilot Studio requires prompt-safety checks and CAB approval for any change to customer-facing language.</w:t>
            </w:r>
          </w:p>
          <w:p>
            <w:pPr>
              <w:spacing w:before="0" w:after="0" w:line="252" w:lineRule="auto"/>
            </w:pPr>
            <w:r>
              <w:rPr>
                <w:rFonts w:ascii="Aptos" w:hAnsi="Aptos" w:cs="Aptos"/>
                <w:b w:val="0"/>
                <w:color w:val="1F2937"/>
                <w:sz w:val="18"/>
                <w:szCs w:val="18"/>
              </w:rPr>
              <w:t xml:space="preserve">Foundry’s category and review recommendation decide which missing-document request is raised, and the Document Request Agent explains that request to the customer.</w:t>
            </w:r>
          </w:p>
        </w:tc>
        <w:tc>
          <w:tcPr>
            <w:tcW w:type="dxa" w:w="17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spacing w:before="0" w:after="50" w:line="252" w:lineRule="auto"/>
            </w:pPr>
            <w:r>
              <w:rPr>
                <w:rFonts w:ascii="Aptos" w:hAnsi="Aptos" w:cs="Aptos"/>
                <w:b/>
                <w:color w:val="1F2937"/>
                <w:sz w:val="18"/>
                <w:szCs w:val="18"/>
              </w:rPr>
              <w:t xml:space="preserve">Microsoft Foundry</w:t>
            </w:r>
            <w:r>
              <w:rPr>
                <w:rFonts w:ascii="Aptos" w:hAnsi="Aptos" w:cs="Aptos"/>
                <w:b w:val="0"/>
                <w:color w:val="1F2937"/>
                <w:sz w:val="18"/>
                <w:szCs w:val="18"/>
              </w:rPr>
              <w:t xml:space="preserve"> document classification model</w:t>
            </w:r>
          </w:p>
          <w:p>
            <w:pPr>
              <w:spacing w:before="0" w:after="50" w:line="252" w:lineRule="auto"/>
            </w:pPr>
            <w:r>
              <w:rPr>
                <w:rFonts w:ascii="Aptos" w:hAnsi="Aptos" w:cs="Aptos"/>
                <w:b w:val="0"/>
                <w:color w:val="1F2937"/>
                <w:sz w:val="18"/>
                <w:szCs w:val="18"/>
              </w:rPr>
              <w:t xml:space="preserve">↔</w:t>
            </w:r>
          </w:p>
          <w:p>
            <w:pPr>
              <w:spacing w:before="0" w:after="50" w:line="252" w:lineRule="auto"/>
            </w:pPr>
            <w:r>
              <w:rPr>
                <w:rFonts w:ascii="Aptos" w:hAnsi="Aptos" w:cs="Aptos"/>
                <w:b/>
                <w:color w:val="1F2937"/>
                <w:sz w:val="18"/>
                <w:szCs w:val="18"/>
              </w:rPr>
              <w:t xml:space="preserve">Copilot Studio</w:t>
            </w:r>
            <w:r>
              <w:rPr>
                <w:rFonts w:ascii="Aptos" w:hAnsi="Aptos" w:cs="Aptos"/>
                <w:b w:val="0"/>
                <w:color w:val="1F2937"/>
                <w:sz w:val="18"/>
                <w:szCs w:val="18"/>
              </w:rPr>
              <w:t xml:space="preserve"> Document Request Agent</w:t>
            </w:r>
          </w:p>
          <w:p>
            <w:pPr>
              <w:spacing w:before="0" w:after="0" w:line="252" w:lineRule="auto"/>
            </w:pPr>
            <w:r>
              <w:rPr>
                <w:rFonts w:ascii="Aptos" w:hAnsi="Aptos" w:cs="Aptos"/>
                <w:b w:val="0"/>
                <w:color w:val="1F2937"/>
                <w:sz w:val="18"/>
                <w:szCs w:val="18"/>
              </w:rPr>
              <w:t xml:space="preserve">Also affected downstream: the Power Apps Missing Document Classifier and the D365 customer-language controls.</w:t>
            </w:r>
          </w:p>
        </w:tc>
        <w:tc>
          <w:tcPr>
            <w:tcW w:type="dxa" w:w="31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numPr>
                <w:ilvl w:val="0"/>
                <w:numId w:val="10"/>
              </w:numPr>
              <w:spacing w:before="0" w:after="30" w:line="252" w:lineRule="auto"/>
            </w:pPr>
            <w:r>
              <w:rPr>
                <w:rFonts w:ascii="Aptos" w:hAnsi="Aptos" w:cs="Aptos"/>
                <w:b w:val="0"/>
                <w:color w:val="1F2937"/>
                <w:sz w:val="18"/>
                <w:szCs w:val="18"/>
              </w:rPr>
              <w:t xml:space="preserve">The Foundry model deployment version is pinned in a Power Platform environment variable. Production calls only the pinned version.</w:t>
            </w:r>
          </w:p>
          <w:p>
            <w:pPr>
              <w:numPr>
                <w:ilvl w:val="0"/>
                <w:numId w:val="10"/>
              </w:numPr>
              <w:spacing w:before="0" w:after="30" w:line="252" w:lineRule="auto"/>
            </w:pPr>
            <w:r>
              <w:rPr>
                <w:rFonts w:ascii="Aptos" w:hAnsi="Aptos" w:cs="Aptos"/>
                <w:b w:val="0"/>
                <w:color w:val="1F2937"/>
                <w:sz w:val="18"/>
                <w:szCs w:val="18"/>
              </w:rPr>
              <w:t xml:space="preserve">Any Foundry change, including a patch, reaches production only by updating that variable through the Copilot Studio pipeline.</w:t>
            </w:r>
          </w:p>
          <w:p>
            <w:pPr>
              <w:numPr>
                <w:ilvl w:val="0"/>
                <w:numId w:val="10"/>
              </w:numPr>
              <w:spacing w:before="0" w:after="30" w:line="252" w:lineRule="auto"/>
            </w:pPr>
            <w:r>
              <w:rPr>
                <w:rFonts w:ascii="Aptos" w:hAnsi="Aptos" w:cs="Aptos"/>
                <w:b w:val="0"/>
                <w:color w:val="1F2937"/>
                <w:sz w:val="18"/>
                <w:szCs w:val="18"/>
              </w:rPr>
              <w:t xml:space="preserve">A patch that passes the behavioral-equivalence test and affects no customer-facing output is a pre-approved standard change. Anything else needs the prompt-safety checks and full CAB approval.</w:t>
            </w:r>
          </w:p>
          <w:p>
            <w:pPr>
              <w:numPr>
                <w:ilvl w:val="0"/>
                <w:numId w:val="10"/>
              </w:numPr>
              <w:spacing w:before="0" w:after="0" w:line="252" w:lineRule="auto"/>
            </w:pPr>
            <w:r>
              <w:rPr>
                <w:rFonts w:ascii="Aptos" w:hAnsi="Aptos" w:cs="Aptos"/>
                <w:b w:val="0"/>
                <w:color w:val="1F2937"/>
                <w:sz w:val="18"/>
                <w:szCs w:val="18"/>
              </w:rPr>
              <w:t xml:space="preserve">Rolling back the solution also restores the previously pinned model version.</w:t>
            </w:r>
          </w:p>
        </w:tc>
        <w:tc>
          <w:tcPr>
            <w:tcW w:type="dxa" w:w="3000"/>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vAlign w:val="top"/>
          </w:tcPr>
          <w:p>
            <w:pPr>
              <w:numPr>
                <w:ilvl w:val="0"/>
                <w:numId w:val="10"/>
              </w:numPr>
              <w:spacing w:before="0" w:after="30" w:line="252" w:lineRule="auto"/>
            </w:pPr>
            <w:r>
              <w:rPr>
                <w:rFonts w:ascii="Aptos" w:hAnsi="Aptos" w:cs="Aptos"/>
                <w:b/>
                <w:color w:val="1F2937"/>
                <w:sz w:val="18"/>
                <w:szCs w:val="18"/>
              </w:rPr>
              <w:t xml:space="preserve">One approval record</w:t>
            </w:r>
            <w:r>
              <w:rPr>
                <w:rFonts w:ascii="Aptos" w:hAnsi="Aptos" w:cs="Aptos"/>
                <w:b w:val="0"/>
                <w:color w:val="1F2937"/>
                <w:sz w:val="18"/>
                <w:szCs w:val="18"/>
              </w:rPr>
              <w:t xml:space="preserve"> covers every change that can alter customer-facing language, whichever component it starts in.</w:t>
            </w:r>
          </w:p>
          <w:p>
            <w:pPr>
              <w:numPr>
                <w:ilvl w:val="0"/>
                <w:numId w:val="10"/>
              </w:numPr>
              <w:spacing w:before="0" w:after="30" w:line="252" w:lineRule="auto"/>
            </w:pPr>
            <w:r>
              <w:rPr>
                <w:rFonts w:ascii="Aptos" w:hAnsi="Aptos" w:cs="Aptos"/>
                <w:b/>
                <w:color w:val="1F2937"/>
                <w:sz w:val="18"/>
                <w:szCs w:val="18"/>
              </w:rPr>
              <w:t xml:space="preserve">Proportionate governance:</w:t>
            </w:r>
            <w:r>
              <w:rPr>
                <w:rFonts w:ascii="Aptos" w:hAnsi="Aptos" w:cs="Aptos"/>
                <w:b w:val="0"/>
                <w:color w:val="1F2937"/>
                <w:sz w:val="18"/>
                <w:szCs w:val="18"/>
              </w:rPr>
              <w:t xml:space="preserve"> Foundry keeps a light path for fixes that truly don’t change behavior.</w:t>
            </w:r>
          </w:p>
          <w:p>
            <w:pPr>
              <w:numPr>
                <w:ilvl w:val="0"/>
                <w:numId w:val="10"/>
              </w:numPr>
              <w:spacing w:before="0" w:after="30" w:line="252" w:lineRule="auto"/>
            </w:pPr>
            <w:r>
              <w:rPr>
                <w:rFonts w:ascii="Aptos" w:hAnsi="Aptos" w:cs="Aptos"/>
                <w:b/>
                <w:color w:val="1F2937"/>
                <w:sz w:val="18"/>
                <w:szCs w:val="18"/>
              </w:rPr>
              <w:t xml:space="preserve">Synchronized rollback:</w:t>
            </w:r>
            <w:r>
              <w:rPr>
                <w:rFonts w:ascii="Aptos" w:hAnsi="Aptos" w:cs="Aptos"/>
                <w:b w:val="0"/>
                <w:color w:val="1F2937"/>
                <w:sz w:val="18"/>
                <w:szCs w:val="18"/>
              </w:rPr>
              <w:t xml:space="preserve"> agent wording and model behavior can never be mismatched in production.</w:t>
            </w:r>
          </w:p>
          <w:p>
            <w:pPr>
              <w:numPr>
                <w:ilvl w:val="0"/>
                <w:numId w:val="10"/>
              </w:numPr>
              <w:spacing w:before="0" w:after="0" w:line="252" w:lineRule="auto"/>
            </w:pPr>
            <w:r>
              <w:rPr>
                <w:rFonts w:ascii="Aptos" w:hAnsi="Aptos" w:cs="Aptos"/>
                <w:b/>
                <w:color w:val="1F2937"/>
                <w:sz w:val="18"/>
                <w:szCs w:val="18"/>
              </w:rPr>
              <w:t xml:space="preserve">Traceability:</w:t>
            </w:r>
            <w:r>
              <w:rPr>
                <w:rFonts w:ascii="Aptos" w:hAnsi="Aptos" w:cs="Aptos"/>
                <w:b w:val="0"/>
                <w:color w:val="1F2937"/>
                <w:sz w:val="18"/>
                <w:szCs w:val="18"/>
              </w:rPr>
              <w:t xml:space="preserve"> the CRO can trace any customer conversation to the exact agent, prompt and model versions in force.</w:t>
            </w:r>
          </w:p>
        </w:tc>
      </w:tr>
    </w:tbl>
    <w:p>
      <w:pPr>
        <w:spacing w:after="40"/>
      </w:pPr>
    </w:p>
    <w:p>
      <w:pPr>
        <w:pStyle w:val="Heading3"/>
        <w:spacing w:after="120"/>
      </w:pPr>
      <w:r>
        <w:rPr>
          <w:rFonts w:ascii="Aptos" w:hAnsi="Aptos"/>
          <w:color w:val="1F2937"/>
          <w:sz w:val="22"/>
        </w:rPr>
        <w:t>Analytical Content (150-250 words)</w:t>
      </w:r>
    </w:p>
    <w:tbl>
      <w:tblPr>
        <w:tblW w:type="dxa" w:w="10512"/>
        <w:jc w:val="center"/>
        <w:tblLayout w:type="fixed"/>
        <w:tblLook w:firstColumn="1" w:firstRow="1" w:lastColumn="0" w:lastRow="0" w:noHBand="0" w:noVBand="1" w:val="04A0"/>
      </w:tblPr>
      <w:tblGrid>
        <w:gridCol w:w="10512"/>
      </w:tblGrid>
      <w:tr>
        <w:tc>
          <w:tcPr>
            <w:tcW w:type="dxa" w:w="1051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shd w:fill="FCFCFD"/>
            <w:tcMar>
              <w:top w:w="120" w:type="dxa"/>
              <w:left w:w="160" w:type="dxa"/>
              <w:bottom w:w="120" w:type="dxa"/>
              <w:right w:w="160" w:type="dxa"/>
            </w:tcMar>
          </w:tcPr>
          <w:p>
            <w:pPr>
              <w:spacing w:before="0" w:after="140" w:line="264" w:lineRule="auto"/>
            </w:pPr>
            <w:r>
              <w:rPr>
                <w:rFonts w:ascii="Aptos" w:hAnsi="Aptos" w:cs="Aptos"/>
                <w:b w:val="0"/>
                <w:color w:val="1F2937"/>
                <w:sz w:val="20"/>
                <w:szCs w:val="20"/>
              </w:rPr>
              <w:t xml:space="preserve">The tension existed because each component’s governance was designed correctly in isolation. To the model team, rewording a prompt in the Foundry agent workflow does not change the class definitions, so the lifecycle rules treat it as a patch. To the Copilot Studio team, any change to customer-facing language requires prompt-safety checks and CAB approval. The gap appears only when the components are connected. Foundry’s category and review recommendation decide which missing-document request is raised, and the Document Request Agent explains that request to the borrower. A model-side patch could therefore change what a borrower is told about their application while bypassing the gate designed to control exactly that. The same seam explains both checklist gaps: the Foundry model sat outside the Power Platform release, and without model-version telemetry a drift alert could not be traced to, or reversed for, a specific version.</w:t>
            </w:r>
          </w:p>
          <w:p>
            <w:pPr>
              <w:spacing w:before="0" w:after="0" w:line="264" w:lineRule="auto"/>
            </w:pPr>
            <w:r>
              <w:rPr>
                <w:rFonts w:ascii="Aptos" w:hAnsi="Aptos" w:cs="Aptos"/>
                <w:b w:val="0"/>
                <w:color w:val="1F2937"/>
                <w:sz w:val="20"/>
                <w:szCs w:val="20"/>
              </w:rPr>
              <w:t xml:space="preserve">The resolution makes the Power Platform release the single point of control for customer-facing behavior. Pinning the Foundry version in an environment variable means no model change reaches production except through the pipeline, and the behavioral-equivalence test decides objectively whether a patch may take the light path. The result is one approval record for every customer-visible change, synchronized rollback of agent and model, and an audit trail linking any conversation to the agent, prompt and model versions that produced it. That is the end-to-end governance the Chief Risk Officer requires before launch.</w:t>
            </w:r>
          </w:p>
        </w:tc>
      </w:tr>
    </w:tbl>
    <w:p>
      <w:pPr>
        <w:spacing w:after="80"/>
      </w:pPr>
    </w:p>
    <w:p>
      <w:pPr>
        <w:spacing w:after="120"/>
        <w:pBdr>
          <w:bottom w:val="single" w:sz="6" w:space="4" w:color="E5E7EB"/>
        </w:pBdr>
      </w:pPr>
      <w:r>
        <w:rPr>
          <w:rFonts w:ascii="Aptos" w:hAnsi="Aptos"/>
          <w:color w:val="64748B"/>
          <w:sz w:val="18"/>
        </w:rPr>
        <w:t>Prepared for the Meridian Mutual Lending Group production launch readiness review. All client data referenced in this document is synthetic.</w:t>
      </w:r>
    </w:p>
    <w:sectPr w:rsidR="00FC693F" w:rsidRPr="0006063C" w:rsidSect="00034616">
      <w:footerReference w:type="default" r:id="rIdFooter1"/>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Bdr>
        <w:top w:val="single" w:sz="4" w:space="6" w:color="E5E7EB"/>
      </w:pBdr>
      <w:tabs>
        <w:tab w:val="clear" w:pos="4680"/>
        <w:tab w:val="clear" w:pos="9360"/>
        <w:tab w:val="right" w:pos="10512"/>
      </w:tabs>
    </w:pPr>
    <w:r>
      <w:rPr>
        <w:rFonts w:ascii="Aptos" w:hAnsi="Aptos"/>
        <w:color w:val="64748B"/>
        <w:sz w:val="16"/>
      </w:rPr>
      <w:t xml:space="preserve">Meridian Mutual Lending Group  |  Integrated Delivery Architecture Document  |  v1.0</w:t>
    </w:r>
    <w:r>
      <w:rPr>
        <w:sz w:val="16"/>
      </w:rPr>
      <w:tab/>
    </w:r>
    <w:r>
      <w:rPr>
        <w:rFonts w:ascii="Aptos" w:hAnsi="Aptos"/>
        <w:color w:val="64748B"/>
        <w:sz w:val="16"/>
      </w:rPr>
      <w:t xml:space="preserve">Page </w:t>
    </w:r>
    <w:r>
      <w:rPr>
        <w:rFonts w:ascii="Aptos" w:hAnsi="Aptos"/>
        <w:color w:val="64748B"/>
        <w:sz w:val="16"/>
      </w:rPr>
      <w:fldChar w:fldCharType="begin"/>
    </w:r>
    <w:r>
      <w:rPr>
        <w:rFonts w:ascii="Aptos" w:hAnsi="Aptos"/>
        <w:color w:val="64748B"/>
        <w:sz w:val="16"/>
      </w:rPr>
      <w:instrText xml:space="preserve"> PAGE </w:instrText>
    </w:r>
    <w:r>
      <w:rPr>
        <w:rFonts w:ascii="Aptos" w:hAnsi="Aptos"/>
        <w:color w:val="64748B"/>
        <w:sz w:val="16"/>
      </w:rPr>
      <w:fldChar w:fldCharType="separate"/>
    </w:r>
    <w:r>
      <w:rPr>
        <w:rFonts w:ascii="Aptos" w:hAnsi="Aptos"/>
        <w:color w:val="64748B"/>
        <w:sz w:val="16"/>
      </w:rPr>
      <w:t>1</w:t>
    </w:r>
    <w:r>
      <w:rPr>
        <w:rFonts w:ascii="Aptos" w:hAnsi="Aptos"/>
        <w:color w:val="64748B"/>
        <w:sz w:val="16"/>
      </w:rPr>
      <w:fldChar w:fldCharType="end"/>
    </w:r>
    <w:r>
      <w:rPr>
        <w:rFonts w:ascii="Aptos" w:hAnsi="Aptos"/>
        <w:color w:val="64748B"/>
        <w:sz w:val="16"/>
      </w:rPr>
      <w:t xml:space="preserve"> of </w:t>
    </w:r>
    <w:r>
      <w:rPr>
        <w:rFonts w:ascii="Aptos" w:hAnsi="Aptos"/>
        <w:color w:val="64748B"/>
        <w:sz w:val="16"/>
      </w:rPr>
      <w:fldChar w:fldCharType="begin"/>
    </w:r>
    <w:r>
      <w:rPr>
        <w:rFonts w:ascii="Aptos" w:hAnsi="Aptos"/>
        <w:color w:val="64748B"/>
        <w:sz w:val="16"/>
      </w:rPr>
      <w:instrText xml:space="preserve"> NUMPAGES </w:instrText>
    </w:r>
    <w:r>
      <w:rPr>
        <w:rFonts w:ascii="Aptos" w:hAnsi="Aptos"/>
        <w:color w:val="64748B"/>
        <w:sz w:val="16"/>
      </w:rPr>
      <w:fldChar w:fldCharType="separate"/>
    </w:r>
    <w:r>
      <w:rPr>
        <w:rFonts w:ascii="Aptos" w:hAnsi="Aptos"/>
        <w:color w:val="64748B"/>
        <w:sz w:val="16"/>
      </w:rPr>
      <w:t>1</w:t>
    </w:r>
    <w:r>
      <w:rPr>
        <w:rFonts w:ascii="Aptos" w:hAnsi="Aptos"/>
        <w:color w:val="64748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A3C1E77"/>
    <w:multiLevelType w:val="singleLevel"/>
    <w:tmpl w:val="6B2D4F10"/>
    <w:lvl w:ilvl="0">
      <w:start w:val="1"/>
      <w:numFmt w:val="bullet"/>
      <w:lvlText w:val="•"/>
      <w:lvlJc w:val="left"/>
      <w:pPr>
        <w:ind w:left="200" w:hanging="170"/>
      </w:pPr>
      <w:rPr>
        <w:rFonts w:ascii="Aptos" w:hAnsi="Aptos" w:hint="default"/>
        <w:color w:val="64748B"/>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ptos" w:hAnsi="Aptos"/>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Delivery Architecture Document - Meridian Mutual Lending Group</dc:title>
  <dc:subject/>
  <dc:creator>Integrated AI Platform Delivery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