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heading=h.g94p0i4hv739" w:id="0"/>
      <w:bookmarkEnd w:id="0"/>
      <w:r w:rsidDel="00000000" w:rsidR="00000000" w:rsidRPr="00000000">
        <w:rPr>
          <w:b w:val="1"/>
          <w:bCs w:val="1"/>
          <w:rtl w:val="0"/>
        </w:rPr>
        <w:t xml:space="preserve">Integrated Copilot Studio &amp; M365 Copilot Architecture Document Template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Copilot Studio Agent Architecture Summary</w:t>
      </w:r>
    </w:p>
    <w:tbl>
      <w:tblPr>
        <w:tblStyle w:val="Table1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Learner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shd w:fill="f8f9fb" w:val="clear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150–250 words. Cover financial analysis specialist agent, topic hierarchy, orchestration model, fallback, conversation flow, prompt library, grounding.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 Extensibility Architecture Summary</w:t>
      </w:r>
    </w:p>
    <w:tbl>
      <w:tblPr>
        <w:tblStyle w:val="Table2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Learner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shd w:fill="f8f9fb" w:val="clea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150–250 words. Cover MCP connector, Computer Use, A2A handoff, maintenance/failure considerations.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3. Microsoft 365 Copilot Surface Alignment Summary</w:t>
      </w:r>
    </w:p>
    <w:tbl>
      <w:tblPr>
        <w:tblStyle w:val="Table3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Learner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shd w:fill="f8f9fb" w:val="clea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150–250 words. Map proposal drafting, client meeting intelligence, and internal knowledge retrieval to surfaces and extensibility models.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4. Copilot for Sales Configuration Summary</w:t>
      </w:r>
    </w:p>
    <w:tbl>
      <w:tblPr>
        <w:tblStyle w:val="Table4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Learner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shd w:fill="f8f9fb" w:val="clea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150–250 words. Cover Dynamics 365 Sales connector, field mapping, meeting intelligence, CRM updates, </w:t>
            </w: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and </w:t>
            </w:r>
            <w:r w:rsidDel="00000000" w:rsidR="00000000" w:rsidRPr="00000000">
              <w:rPr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email assistance decision.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5. Integration Consistency Summary</w:t>
      </w:r>
    </w:p>
    <w:tbl>
      <w:tblPr>
        <w:tblStyle w:val="Table5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Learner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shd w:fill="f8f9fb" w:val="clea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150–250 words. Confirm four consistency checks and identify at least one real cross-component tension and resolution.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200" w:before="0" w:line="276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bidi w:val="0"/>
      <w:spacing w:after="0" w:before="0" w:line="240" w:lineRule="auto"/>
      <w:jc w:val="left"/>
    </w:pPr>
    <w:rPr>
      <w:rFonts w:ascii="Cambria" w:cs="" w:eastAsia="ＭＳ 明朝" w:hAnsi="Cambria" w:asciiTheme="minorHAnsi" w:cstheme="minorBidi" w:eastAsiaTheme="minorEastAsia" w:hAnsiTheme="minorHAnsi"/>
      <w:color w:val="auto"/>
      <w:kern w:val="0"/>
      <w:sz w:val="20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 w:hanging="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Bullet 3"/>
    <w:basedOn w:val="Normal"/>
    <w:uiPriority w:val="99"/>
    <w:unhideWhenUsed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Bullet 4"/>
    <w:basedOn w:val="Normal"/>
    <w:uiPriority w:val="99"/>
    <w:unhideWhenUsed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qFormat w:val="1"/>
    <w:rsid w:val="0029639D"/>
    <w:p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qFormat w:val="1"/>
    <w:rsid w:val="0029639D"/>
    <w:p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qFormat w:val="1"/>
    <w:rsid w:val="0029639D"/>
    <w:pPr>
      <w:spacing w:after="120" w:before="0"/>
      <w:ind w:left="360" w:hanging="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qFormat w:val="1"/>
    <w:rsid w:val="0029639D"/>
    <w:pPr>
      <w:spacing w:after="120" w:before="0"/>
      <w:ind w:left="720" w:hanging="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qFormat w:val="1"/>
    <w:rsid w:val="0029639D"/>
    <w:pPr>
      <w:spacing w:after="120" w:before="0"/>
      <w:ind w:left="1080" w:hanging="0"/>
      <w:contextualSpacing w:val="1"/>
    </w:pPr>
    <w:rPr/>
  </w:style>
  <w:style w:type="paragraph" w:styleId="Macro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0"/>
      <w:spacing w:after="200" w:before="0" w:line="276" w:lineRule="auto"/>
      <w:jc w:val="left"/>
    </w:pPr>
    <w:rPr>
      <w:rFonts w:ascii="Courier" w:cs="" w:eastAsia="ＭＳ 明朝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 w:hanging="0"/>
    </w:pPr>
    <w:rPr>
      <w:b w:val="1"/>
      <w:bCs w:val="1"/>
      <w:i w:val="1"/>
      <w:iCs w:val="1"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/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kMepXDYwkpsNdBd7EMhFzcHZiw==">CgMxLjAyDmguZzk0cDBpNGh2NzM5OAByITFEaTZiRmdZS3ZsUUJsQjRUZ0VwNzNmWW84VXJYNHE5Qw==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