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4D0" w:rsidRDefault="004140C6">
      <w:pPr>
        <w:jc w:val="center"/>
      </w:pPr>
      <w:bookmarkStart w:id="0" w:name="_GoBack"/>
      <w:r>
        <w:rPr>
          <w:b/>
          <w:bCs/>
          <w:color w:val="1F4E79"/>
          <w:sz w:val="36"/>
          <w:szCs w:val="36"/>
        </w:rPr>
        <w:t>Workflow Stabilization Assessment</w:t>
      </w:r>
      <w:r>
        <w:rPr>
          <w:b/>
          <w:bCs/>
          <w:color w:val="1F4E79"/>
          <w:sz w:val="36"/>
          <w:szCs w:val="36"/>
        </w:rPr>
        <w:t xml:space="preserve"> Template</w:t>
      </w:r>
    </w:p>
    <w:bookmarkEnd w:id="0"/>
    <w:p w:rsidR="00CC54D0" w:rsidRDefault="004140C6">
      <w:pPr>
        <w:jc w:val="center"/>
      </w:pPr>
      <w:r>
        <w:rPr>
          <w:i/>
          <w:iCs/>
          <w:color w:val="595959"/>
        </w:rPr>
        <w:t>Section 4 — Apex Insurance Group Integrated Architecture Package</w:t>
      </w:r>
    </w:p>
    <w:p w:rsidR="00CC54D0" w:rsidRDefault="00CC54D0"/>
    <w:tbl>
      <w:tblPr>
        <w:tblStyle w:val="a"/>
        <w:tblW w:w="103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3"/>
        <w:gridCol w:w="5183"/>
      </w:tblGrid>
      <w:tr w:rsidR="00CC54D0">
        <w:trPr>
          <w:jc w:val="center"/>
        </w:trPr>
        <w:tc>
          <w:tcPr>
            <w:tcW w:w="5184" w:type="dxa"/>
            <w:shd w:val="clear" w:color="auto" w:fill="E7E6E6"/>
          </w:tcPr>
          <w:p w:rsidR="00CC54D0" w:rsidRDefault="004140C6">
            <w:r>
              <w:rPr>
                <w:b/>
                <w:bCs/>
                <w:color w:val="1F1F1F"/>
                <w:sz w:val="18"/>
                <w:szCs w:val="18"/>
              </w:rPr>
              <w:t>Project</w:t>
            </w:r>
          </w:p>
        </w:tc>
        <w:tc>
          <w:tcPr>
            <w:tcW w:w="5183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Apex Insurance Group Integrated Architecture and Sign-off Package</w:t>
            </w:r>
          </w:p>
        </w:tc>
      </w:tr>
      <w:tr w:rsidR="00CC54D0">
        <w:trPr>
          <w:jc w:val="center"/>
        </w:trPr>
        <w:tc>
          <w:tcPr>
            <w:tcW w:w="5184" w:type="dxa"/>
            <w:shd w:val="clear" w:color="auto" w:fill="E7E6E6"/>
          </w:tcPr>
          <w:p w:rsidR="00CC54D0" w:rsidRDefault="004140C6">
            <w:r>
              <w:rPr>
                <w:b/>
                <w:bCs/>
                <w:color w:val="1F1F1F"/>
                <w:sz w:val="18"/>
                <w:szCs w:val="18"/>
              </w:rPr>
              <w:t>Template Section</w:t>
            </w:r>
          </w:p>
        </w:tc>
        <w:tc>
          <w:tcPr>
            <w:tcW w:w="5183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Section 4—Workflow Stabilization Assessment</w:t>
            </w:r>
          </w:p>
        </w:tc>
      </w:tr>
      <w:tr w:rsidR="00CC54D0">
        <w:trPr>
          <w:jc w:val="center"/>
        </w:trPr>
        <w:tc>
          <w:tcPr>
            <w:tcW w:w="5184" w:type="dxa"/>
            <w:shd w:val="clear" w:color="auto" w:fill="E7E6E6"/>
          </w:tcPr>
          <w:p w:rsidR="00CC54D0" w:rsidRDefault="004140C6">
            <w:r>
              <w:rPr>
                <w:b/>
                <w:bCs/>
                <w:color w:val="1F1F1F"/>
                <w:sz w:val="18"/>
                <w:szCs w:val="18"/>
              </w:rPr>
              <w:t>Learner Name</w:t>
            </w:r>
          </w:p>
        </w:tc>
        <w:tc>
          <w:tcPr>
            <w:tcW w:w="5183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name]</w:t>
            </w:r>
          </w:p>
        </w:tc>
      </w:tr>
      <w:tr w:rsidR="00CC54D0">
        <w:trPr>
          <w:jc w:val="center"/>
        </w:trPr>
        <w:tc>
          <w:tcPr>
            <w:tcW w:w="5184" w:type="dxa"/>
            <w:shd w:val="clear" w:color="auto" w:fill="E7E6E6"/>
          </w:tcPr>
          <w:p w:rsidR="00CC54D0" w:rsidRDefault="004140C6">
            <w:r>
              <w:rPr>
                <w:b/>
                <w:bCs/>
                <w:color w:val="1F1F1F"/>
                <w:sz w:val="18"/>
                <w:szCs w:val="18"/>
              </w:rPr>
              <w:t>Deliverable</w:t>
            </w:r>
          </w:p>
        </w:tc>
        <w:tc>
          <w:tcPr>
            <w:tcW w:w="5183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AI-Graded File Upload (PDF)</w:t>
            </w:r>
          </w:p>
        </w:tc>
      </w:tr>
    </w:tbl>
    <w:p w:rsidR="00CC54D0" w:rsidRDefault="00CC54D0"/>
    <w:tbl>
      <w:tblPr>
        <w:tblStyle w:val="a0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68"/>
      </w:tblGrid>
      <w:tr w:rsidR="00CC54D0">
        <w:tc>
          <w:tcPr>
            <w:tcW w:w="10368" w:type="dxa"/>
            <w:shd w:val="clear" w:color="auto" w:fill="FFF2CC"/>
          </w:tcPr>
          <w:p w:rsidR="00CC54D0" w:rsidRDefault="00CC54D0">
            <w:pPr>
              <w:rPr>
                <w:color w:val="1F1F1F"/>
                <w:sz w:val="18"/>
                <w:szCs w:val="18"/>
              </w:rPr>
            </w:pPr>
          </w:p>
        </w:tc>
      </w:tr>
    </w:tbl>
    <w:p w:rsidR="00CC54D0" w:rsidRDefault="00CC54D0"/>
    <w:p w:rsidR="00CC54D0" w:rsidRDefault="004140C6">
      <w:pPr>
        <w:pStyle w:val="Heading2"/>
      </w:pPr>
      <w:r>
        <w:t>1. Claims Processing Workflow Reference</w:t>
      </w:r>
    </w:p>
    <w:tbl>
      <w:tblPr>
        <w:tblStyle w:val="a1"/>
        <w:tblW w:w="103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1"/>
        <w:gridCol w:w="2592"/>
        <w:gridCol w:w="2592"/>
        <w:gridCol w:w="2591"/>
      </w:tblGrid>
      <w:tr w:rsidR="00CC54D0">
        <w:trPr>
          <w:jc w:val="center"/>
        </w:trPr>
        <w:tc>
          <w:tcPr>
            <w:tcW w:w="2592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Workflow Node</w:t>
            </w:r>
          </w:p>
        </w:tc>
        <w:tc>
          <w:tcPr>
            <w:tcW w:w="2592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Agent / System</w:t>
            </w:r>
          </w:p>
        </w:tc>
        <w:tc>
          <w:tcPr>
            <w:tcW w:w="2592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Normal Function</w:t>
            </w:r>
          </w:p>
        </w:tc>
        <w:tc>
          <w:tcPr>
            <w:tcW w:w="2591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Downstream Dependency</w:t>
            </w:r>
          </w:p>
        </w:tc>
      </w:tr>
      <w:tr w:rsidR="00CC54D0">
        <w:trPr>
          <w:jc w:val="center"/>
        </w:trPr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Claim document ingestion</w:t>
            </w:r>
          </w:p>
        </w:tc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Claim Intake / Extraction Agent</w:t>
            </w:r>
          </w:p>
        </w:tc>
        <w:tc>
          <w:tcPr>
            <w:tcW w:w="2592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function]</w:t>
            </w:r>
          </w:p>
        </w:tc>
        <w:tc>
          <w:tcPr>
            <w:tcW w:w="2591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dependency]</w:t>
            </w:r>
          </w:p>
        </w:tc>
      </w:tr>
      <w:tr w:rsidR="00CC54D0">
        <w:trPr>
          <w:jc w:val="center"/>
        </w:trPr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Policy cross-reference</w:t>
            </w:r>
          </w:p>
        </w:tc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Policy Cross-Reference Agent</w:t>
            </w:r>
          </w:p>
        </w:tc>
        <w:tc>
          <w:tcPr>
            <w:tcW w:w="2592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function]</w:t>
            </w:r>
          </w:p>
        </w:tc>
        <w:tc>
          <w:tcPr>
            <w:tcW w:w="2591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dependency]</w:t>
            </w:r>
          </w:p>
        </w:tc>
      </w:tr>
      <w:tr w:rsidR="00CC54D0">
        <w:trPr>
          <w:jc w:val="center"/>
        </w:trPr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Fraud and public records check</w:t>
            </w:r>
          </w:p>
        </w:tc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Fraud and Risk Specialist + external API</w:t>
            </w:r>
          </w:p>
        </w:tc>
        <w:tc>
          <w:tcPr>
            <w:tcW w:w="2592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function]</w:t>
            </w:r>
          </w:p>
        </w:tc>
        <w:tc>
          <w:tcPr>
            <w:tcW w:w="2591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dependency]</w:t>
            </w:r>
          </w:p>
        </w:tc>
      </w:tr>
      <w:tr w:rsidR="00CC54D0">
        <w:trPr>
          <w:jc w:val="center"/>
        </w:trPr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A2A handoff</w:t>
            </w:r>
          </w:p>
        </w:tc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 xml:space="preserve">Fraud and Risk Specialist </w:t>
            </w:r>
            <w:r>
              <w:rPr>
                <w:color w:val="1F1F1F"/>
                <w:sz w:val="18"/>
                <w:szCs w:val="18"/>
              </w:rPr>
              <w:t>→ Settlement Specialist</w:t>
            </w:r>
          </w:p>
        </w:tc>
        <w:tc>
          <w:tcPr>
            <w:tcW w:w="2592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function]</w:t>
            </w:r>
          </w:p>
        </w:tc>
        <w:tc>
          <w:tcPr>
            <w:tcW w:w="2591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dependency]</w:t>
            </w:r>
          </w:p>
        </w:tc>
      </w:tr>
      <w:tr w:rsidR="00CC54D0">
        <w:trPr>
          <w:jc w:val="center"/>
        </w:trPr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Settlement output</w:t>
            </w:r>
          </w:p>
        </w:tc>
        <w:tc>
          <w:tcPr>
            <w:tcW w:w="2592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Settlement Specialist</w:t>
            </w:r>
          </w:p>
        </w:tc>
        <w:tc>
          <w:tcPr>
            <w:tcW w:w="2592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function]</w:t>
            </w:r>
          </w:p>
        </w:tc>
        <w:tc>
          <w:tcPr>
            <w:tcW w:w="2591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dependency]</w:t>
            </w:r>
          </w:p>
        </w:tc>
      </w:tr>
    </w:tbl>
    <w:p w:rsidR="00CC54D0" w:rsidRDefault="00CC54D0"/>
    <w:p w:rsidR="00CC54D0" w:rsidRDefault="004140C6">
      <w:pPr>
        <w:pStyle w:val="Heading2"/>
      </w:pPr>
      <w:r>
        <w:t>2. Failure Node Assessment</w:t>
      </w:r>
    </w:p>
    <w:tbl>
      <w:tblPr>
        <w:tblStyle w:val="a2"/>
        <w:tblW w:w="103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7"/>
        <w:gridCol w:w="1729"/>
        <w:gridCol w:w="1728"/>
        <w:gridCol w:w="1727"/>
        <w:gridCol w:w="1728"/>
      </w:tblGrid>
      <w:tr w:rsidR="00CC54D0">
        <w:trPr>
          <w:jc w:val="center"/>
        </w:trPr>
        <w:tc>
          <w:tcPr>
            <w:tcW w:w="1728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Failure Node ID</w:t>
            </w:r>
          </w:p>
        </w:tc>
        <w:tc>
          <w:tcPr>
            <w:tcW w:w="1727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Specific Architecture Point</w:t>
            </w:r>
          </w:p>
        </w:tc>
        <w:tc>
          <w:tcPr>
            <w:tcW w:w="1729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Failure Description</w:t>
            </w:r>
          </w:p>
        </w:tc>
        <w:tc>
          <w:tcPr>
            <w:tcW w:w="1728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Impact if Unhandled</w:t>
            </w:r>
          </w:p>
        </w:tc>
        <w:tc>
          <w:tcPr>
            <w:tcW w:w="1727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Selected Error Handling Pattern</w:t>
            </w:r>
          </w:p>
        </w:tc>
        <w:tc>
          <w:tcPr>
            <w:tcW w:w="1728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CC54D0">
        <w:trPr>
          <w:jc w:val="center"/>
        </w:trPr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FN-001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External API dependency in fraud/public records check</w:t>
            </w:r>
          </w:p>
        </w:tc>
        <w:tc>
          <w:tcPr>
            <w:tcW w:w="1729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failure description]</w:t>
            </w:r>
          </w:p>
        </w:tc>
        <w:tc>
          <w:tcPr>
            <w:tcW w:w="1728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impact]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Circuit breaker</w:t>
            </w:r>
          </w:p>
        </w:tc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[Explain why retry alone is insufficient]</w:t>
            </w:r>
          </w:p>
        </w:tc>
      </w:tr>
      <w:tr w:rsidR="00CC54D0">
        <w:trPr>
          <w:jc w:val="center"/>
        </w:trPr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FN-002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Settlement Specialist output validation</w:t>
            </w:r>
          </w:p>
        </w:tc>
        <w:tc>
          <w:tcPr>
            <w:tcW w:w="1729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failure description]</w:t>
            </w:r>
          </w:p>
        </w:tc>
        <w:tc>
          <w:tcPr>
            <w:tcW w:w="1728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impact]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Validation failure branch</w:t>
            </w:r>
          </w:p>
        </w:tc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[Explain downstream protection]</w:t>
            </w:r>
          </w:p>
        </w:tc>
      </w:tr>
      <w:tr w:rsidR="00CC54D0">
        <w:trPr>
          <w:jc w:val="center"/>
        </w:trPr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FN-003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Agent interaction observability / A2A handoff instrumentation</w:t>
            </w:r>
          </w:p>
        </w:tc>
        <w:tc>
          <w:tcPr>
            <w:tcW w:w="1729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failure description]</w:t>
            </w:r>
          </w:p>
        </w:tc>
        <w:tc>
          <w:tcPr>
            <w:tcW w:w="1728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impact]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Observability instrumentation</w:t>
            </w:r>
          </w:p>
        </w:tc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[Explain aud</w:t>
            </w:r>
            <w:r>
              <w:rPr>
                <w:color w:val="1F1F1F"/>
                <w:sz w:val="18"/>
                <w:szCs w:val="18"/>
              </w:rPr>
              <w:t>it requirement]</w:t>
            </w:r>
          </w:p>
        </w:tc>
      </w:tr>
    </w:tbl>
    <w:p w:rsidR="00CC54D0" w:rsidRDefault="00CC54D0"/>
    <w:p w:rsidR="00CC54D0" w:rsidRDefault="004140C6">
      <w:pPr>
        <w:pStyle w:val="Heading2"/>
      </w:pPr>
      <w:r>
        <w:t>3. Retry and Circuit Breaker Configuration</w:t>
      </w:r>
    </w:p>
    <w:tbl>
      <w:tblPr>
        <w:tblStyle w:val="a3"/>
        <w:tblW w:w="103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7"/>
        <w:gridCol w:w="1729"/>
        <w:gridCol w:w="1728"/>
        <w:gridCol w:w="1727"/>
        <w:gridCol w:w="1728"/>
      </w:tblGrid>
      <w:tr w:rsidR="00CC54D0">
        <w:trPr>
          <w:jc w:val="center"/>
        </w:trPr>
        <w:tc>
          <w:tcPr>
            <w:tcW w:w="1728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Failure Node</w:t>
            </w:r>
          </w:p>
        </w:tc>
        <w:tc>
          <w:tcPr>
            <w:tcW w:w="1727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Retry Count</w:t>
            </w:r>
          </w:p>
        </w:tc>
        <w:tc>
          <w:tcPr>
            <w:tcW w:w="1729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Backoff Strategy</w:t>
            </w:r>
          </w:p>
        </w:tc>
        <w:tc>
          <w:tcPr>
            <w:tcW w:w="1728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Circuit Open Condition</w:t>
            </w:r>
          </w:p>
        </w:tc>
        <w:tc>
          <w:tcPr>
            <w:tcW w:w="1727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Fallback / Alternate Route</w:t>
            </w:r>
          </w:p>
        </w:tc>
        <w:tc>
          <w:tcPr>
            <w:tcW w:w="1728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Recovery Condition</w:t>
            </w:r>
          </w:p>
        </w:tc>
      </w:tr>
      <w:tr w:rsidR="00CC54D0">
        <w:trPr>
          <w:jc w:val="center"/>
        </w:trPr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FN-001</w:t>
            </w:r>
          </w:p>
        </w:tc>
        <w:tc>
          <w:tcPr>
            <w:tcW w:w="1727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e.g., 2-3]</w:t>
            </w:r>
          </w:p>
        </w:tc>
        <w:tc>
          <w:tcPr>
            <w:tcW w:w="1729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exponential backoff details]</w:t>
            </w:r>
          </w:p>
        </w:tc>
        <w:tc>
          <w:tcPr>
            <w:tcW w:w="1728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API failure/latency threshold]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[Human review queue or cached/fallback risk score]</w:t>
            </w:r>
          </w:p>
        </w:tc>
        <w:tc>
          <w:tcPr>
            <w:tcW w:w="1728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recovery criteria]</w:t>
            </w:r>
          </w:p>
        </w:tc>
      </w:tr>
      <w:tr w:rsidR="00CC54D0">
        <w:trPr>
          <w:jc w:val="center"/>
        </w:trPr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FN-002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N/A or [Enter if applicable]</w:t>
            </w:r>
          </w:p>
        </w:tc>
        <w:tc>
          <w:tcPr>
            <w:tcW w:w="1729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N/A or [Enter]</w:t>
            </w:r>
          </w:p>
        </w:tc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N/A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[Validation failure branch]</w:t>
            </w:r>
          </w:p>
        </w:tc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[Schema validation passes]</w:t>
            </w:r>
          </w:p>
        </w:tc>
      </w:tr>
      <w:tr w:rsidR="00CC54D0">
        <w:trPr>
          <w:jc w:val="center"/>
        </w:trPr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FN-003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N/A</w:t>
            </w:r>
          </w:p>
        </w:tc>
        <w:tc>
          <w:tcPr>
            <w:tcW w:w="1729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N/A</w:t>
            </w:r>
          </w:p>
        </w:tc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N/A</w:t>
            </w:r>
          </w:p>
        </w:tc>
        <w:tc>
          <w:tcPr>
            <w:tcW w:w="1727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[Block release or route to instrumentation remediation]</w:t>
            </w:r>
          </w:p>
        </w:tc>
        <w:tc>
          <w:tcPr>
            <w:tcW w:w="1728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[Required spans visible in telemetry]</w:t>
            </w:r>
          </w:p>
        </w:tc>
      </w:tr>
    </w:tbl>
    <w:p w:rsidR="00CC54D0" w:rsidRDefault="00CC54D0"/>
    <w:p w:rsidR="00CC54D0" w:rsidRDefault="004140C6">
      <w:pPr>
        <w:pStyle w:val="Heading2"/>
      </w:pPr>
      <w:r>
        <w:t>4. Observability Specification</w:t>
      </w:r>
    </w:p>
    <w:tbl>
      <w:tblPr>
        <w:tblStyle w:val="a4"/>
        <w:tblW w:w="1036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3"/>
        <w:gridCol w:w="2074"/>
        <w:gridCol w:w="2074"/>
        <w:gridCol w:w="2074"/>
        <w:gridCol w:w="2074"/>
      </w:tblGrid>
      <w:tr w:rsidR="00CC54D0">
        <w:trPr>
          <w:jc w:val="center"/>
        </w:trPr>
        <w:tc>
          <w:tcPr>
            <w:tcW w:w="2073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Span Name</w:t>
            </w:r>
          </w:p>
        </w:tc>
        <w:tc>
          <w:tcPr>
            <w:tcW w:w="2074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Architecture Point</w:t>
            </w:r>
          </w:p>
        </w:tc>
        <w:tc>
          <w:tcPr>
            <w:tcW w:w="2074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Capture Targets</w:t>
            </w:r>
          </w:p>
        </w:tc>
        <w:tc>
          <w:tcPr>
            <w:tcW w:w="2074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PII Handling</w:t>
            </w:r>
          </w:p>
        </w:tc>
        <w:tc>
          <w:tcPr>
            <w:tcW w:w="2074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Owner / Consumer</w:t>
            </w:r>
          </w:p>
        </w:tc>
      </w:tr>
      <w:tr w:rsidR="00CC54D0">
        <w:trPr>
          <w:jc w:val="center"/>
        </w:trPr>
        <w:tc>
          <w:tcPr>
            <w:tcW w:w="2073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lastRenderedPageBreak/>
              <w:t>fraud_api.call</w:t>
            </w:r>
          </w:p>
        </w:tc>
        <w:tc>
          <w:tcPr>
            <w:tcW w:w="207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Fraud and public records API call</w:t>
            </w:r>
          </w:p>
        </w:tc>
        <w:tc>
          <w:tcPr>
            <w:tcW w:w="207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API response status, latency, retry count, circuit state open/closed</w:t>
            </w:r>
          </w:p>
        </w:tc>
        <w:tc>
          <w:tcPr>
            <w:tcW w:w="207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No full payload; claim reference only</w:t>
            </w:r>
          </w:p>
        </w:tc>
        <w:tc>
          <w:tcPr>
            <w:tcW w:w="2074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owner]</w:t>
            </w:r>
          </w:p>
        </w:tc>
      </w:tr>
      <w:tr w:rsidR="00CC54D0">
        <w:trPr>
          <w:jc w:val="center"/>
        </w:trPr>
        <w:tc>
          <w:tcPr>
            <w:tcW w:w="2073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settlement_output.validation</w:t>
            </w:r>
          </w:p>
        </w:tc>
        <w:tc>
          <w:tcPr>
            <w:tcW w:w="207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Settlement Specialist output validation</w:t>
            </w:r>
          </w:p>
        </w:tc>
        <w:tc>
          <w:tcPr>
            <w:tcW w:w="207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Validation pass/fail, schema version, field-level error detail</w:t>
            </w:r>
          </w:p>
        </w:tc>
        <w:tc>
          <w:tcPr>
            <w:tcW w:w="207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No raw PII in validation logs</w:t>
            </w:r>
          </w:p>
        </w:tc>
        <w:tc>
          <w:tcPr>
            <w:tcW w:w="2074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owner]</w:t>
            </w:r>
          </w:p>
        </w:tc>
      </w:tr>
      <w:tr w:rsidR="00CC54D0">
        <w:trPr>
          <w:jc w:val="center"/>
        </w:trPr>
        <w:tc>
          <w:tcPr>
            <w:tcW w:w="2073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a2a.handoff</w:t>
            </w:r>
          </w:p>
        </w:tc>
        <w:tc>
          <w:tcPr>
            <w:tcW w:w="207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Inter-agent handoff events</w:t>
            </w:r>
          </w:p>
        </w:tc>
        <w:tc>
          <w:tcPr>
            <w:tcW w:w="207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Sending agent ID, receiving agent ID, correlation ID, timestamp, payload hash</w:t>
            </w:r>
          </w:p>
        </w:tc>
        <w:tc>
          <w:tcPr>
            <w:tcW w:w="207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Payload hash only; no full handoff payload</w:t>
            </w:r>
          </w:p>
        </w:tc>
        <w:tc>
          <w:tcPr>
            <w:tcW w:w="2074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owner]</w:t>
            </w:r>
          </w:p>
        </w:tc>
      </w:tr>
    </w:tbl>
    <w:p w:rsidR="00CC54D0" w:rsidRDefault="00CC54D0"/>
    <w:p w:rsidR="00CC54D0" w:rsidRDefault="004140C6">
      <w:pPr>
        <w:pStyle w:val="Heading2"/>
      </w:pPr>
      <w:r>
        <w:t>5. Stabilization Decision Summary</w:t>
      </w:r>
    </w:p>
    <w:tbl>
      <w:tblPr>
        <w:tblStyle w:val="a5"/>
        <w:tblW w:w="103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3"/>
        <w:gridCol w:w="5183"/>
      </w:tblGrid>
      <w:tr w:rsidR="00CC54D0">
        <w:trPr>
          <w:jc w:val="center"/>
        </w:trPr>
        <w:tc>
          <w:tcPr>
            <w:tcW w:w="5184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Q</w:t>
            </w:r>
            <w:r>
              <w:rPr>
                <w:b/>
                <w:bCs/>
                <w:color w:val="FFFFFF"/>
                <w:sz w:val="18"/>
                <w:szCs w:val="18"/>
              </w:rPr>
              <w:t>uestion</w:t>
            </w:r>
          </w:p>
        </w:tc>
        <w:tc>
          <w:tcPr>
            <w:tcW w:w="5183" w:type="dxa"/>
            <w:shd w:val="clear" w:color="auto" w:fill="1F4E79"/>
          </w:tcPr>
          <w:p w:rsidR="00CC54D0" w:rsidRDefault="004140C6">
            <w:r>
              <w:rPr>
                <w:b/>
                <w:bCs/>
                <w:color w:val="FFFFFF"/>
                <w:sz w:val="18"/>
                <w:szCs w:val="18"/>
              </w:rPr>
              <w:t>Learner Response</w:t>
            </w:r>
          </w:p>
        </w:tc>
      </w:tr>
      <w:tr w:rsidR="00CC54D0">
        <w:trPr>
          <w:jc w:val="center"/>
        </w:trPr>
        <w:tc>
          <w:tcPr>
            <w:tcW w:w="518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Can the workflow survive external API outage without blank settlement letters?</w:t>
            </w:r>
          </w:p>
        </w:tc>
        <w:tc>
          <w:tcPr>
            <w:tcW w:w="5183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response]</w:t>
            </w:r>
          </w:p>
        </w:tc>
      </w:tr>
      <w:tr w:rsidR="00CC54D0">
        <w:trPr>
          <w:jc w:val="center"/>
        </w:trPr>
        <w:tc>
          <w:tcPr>
            <w:tcW w:w="518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Can malformed settlement output be stopped before downstream use?</w:t>
            </w:r>
          </w:p>
        </w:tc>
        <w:tc>
          <w:tcPr>
            <w:tcW w:w="5183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response]</w:t>
            </w:r>
          </w:p>
        </w:tc>
      </w:tr>
      <w:tr w:rsidR="00CC54D0">
        <w:trPr>
          <w:jc w:val="center"/>
        </w:trPr>
        <w:tc>
          <w:tcPr>
            <w:tcW w:w="518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Can compliance reconstruct agent interactions for audit?</w:t>
            </w:r>
          </w:p>
        </w:tc>
        <w:tc>
          <w:tcPr>
            <w:tcW w:w="5183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response]</w:t>
            </w:r>
          </w:p>
        </w:tc>
      </w:tr>
      <w:tr w:rsidR="00CC54D0">
        <w:trPr>
          <w:jc w:val="center"/>
        </w:trPr>
        <w:tc>
          <w:tcPr>
            <w:tcW w:w="5184" w:type="dxa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Open risks or assumptions</w:t>
            </w:r>
          </w:p>
        </w:tc>
        <w:tc>
          <w:tcPr>
            <w:tcW w:w="5183" w:type="dxa"/>
            <w:shd w:val="clear" w:color="auto" w:fill="F8F9FB"/>
          </w:tcPr>
          <w:p w:rsidR="00CC54D0" w:rsidRDefault="004140C6">
            <w:r>
              <w:rPr>
                <w:color w:val="1F1F1F"/>
                <w:sz w:val="18"/>
                <w:szCs w:val="18"/>
              </w:rPr>
              <w:t>[Enter response]</w:t>
            </w:r>
          </w:p>
        </w:tc>
      </w:tr>
    </w:tbl>
    <w:p w:rsidR="00CC54D0" w:rsidRDefault="00CC54D0"/>
    <w:p w:rsidR="00CC54D0" w:rsidRDefault="004140C6">
      <w:pPr>
        <w:pStyle w:val="Heading2"/>
      </w:pPr>
      <w:r>
        <w:t>Submission Checklist</w:t>
      </w:r>
    </w:p>
    <w:p w:rsidR="00CC54D0" w:rsidRDefault="004140C6">
      <w:r>
        <w:rPr>
          <w:b/>
          <w:bCs/>
        </w:rPr>
        <w:t>☐</w:t>
      </w:r>
      <w:r>
        <w:rPr>
          <w:b/>
          <w:bCs/>
        </w:rPr>
        <w:t xml:space="preserve"> </w:t>
      </w:r>
      <w:r>
        <w:t>Three failure nodes are specific to the Claims Processing architecture.</w:t>
      </w:r>
    </w:p>
    <w:p w:rsidR="00CC54D0" w:rsidRDefault="004140C6">
      <w:r>
        <w:rPr>
          <w:b/>
          <w:bCs/>
        </w:rPr>
        <w:t>☐</w:t>
      </w:r>
      <w:r>
        <w:rPr>
          <w:b/>
          <w:bCs/>
        </w:rPr>
        <w:t xml:space="preserve"> </w:t>
      </w:r>
      <w:r>
        <w:t>External fraud/public records API uses a circuit breaker, not retry-only handling.</w:t>
      </w:r>
    </w:p>
    <w:p w:rsidR="00CC54D0" w:rsidRDefault="004140C6">
      <w:r>
        <w:rPr>
          <w:b/>
          <w:bCs/>
        </w:rPr>
        <w:t>☐</w:t>
      </w:r>
      <w:r>
        <w:rPr>
          <w:b/>
          <w:bCs/>
        </w:rPr>
        <w:t xml:space="preserve"> </w:t>
      </w:r>
      <w:r>
        <w:t>Settlement Specialist malformed output uses a validation failure branch.</w:t>
      </w:r>
    </w:p>
    <w:p w:rsidR="00CC54D0" w:rsidRDefault="004140C6">
      <w:r>
        <w:rPr>
          <w:b/>
          <w:bCs/>
        </w:rPr>
        <w:t>☐</w:t>
      </w:r>
      <w:r>
        <w:rPr>
          <w:b/>
          <w:bCs/>
        </w:rPr>
        <w:t xml:space="preserve"> </w:t>
      </w:r>
      <w:r>
        <w:t>Observability spans name specific capture targets.</w:t>
      </w:r>
    </w:p>
    <w:p w:rsidR="00CC54D0" w:rsidRDefault="004140C6">
      <w:r>
        <w:rPr>
          <w:b/>
          <w:bCs/>
        </w:rPr>
        <w:t>☐</w:t>
      </w:r>
      <w:r>
        <w:rPr>
          <w:b/>
          <w:bCs/>
        </w:rPr>
        <w:t xml:space="preserve"> </w:t>
      </w:r>
      <w:r>
        <w:t>A2A handoff instrumentation includes correl</w:t>
      </w:r>
      <w:r>
        <w:t>ation ID and payload hash, not full PII payload.</w:t>
      </w:r>
    </w:p>
    <w:p w:rsidR="00CC54D0" w:rsidRDefault="004140C6">
      <w:r>
        <w:rPr>
          <w:b/>
          <w:bCs/>
        </w:rPr>
        <w:t>☐</w:t>
      </w:r>
      <w:r>
        <w:rPr>
          <w:b/>
          <w:bCs/>
        </w:rPr>
        <w:t xml:space="preserve"> </w:t>
      </w:r>
      <w:r>
        <w:t>Failure nodes trace back to agents or handoffs defined in Sections 2 and 3.</w:t>
      </w:r>
    </w:p>
    <w:p w:rsidR="00CC54D0" w:rsidRDefault="00CC54D0"/>
    <w:sectPr w:rsidR="00CC54D0">
      <w:pgSz w:w="12240" w:h="15840"/>
      <w:pgMar w:top="864" w:right="936" w:bottom="864" w:left="936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AFF7EE-54ED-4E11-A769-4AB0C1C0FEE5}"/>
    <w:embedBold r:id="rId2" w:fontKey="{6FAEE758-2633-4A72-A8F8-75C350759F4D}"/>
    <w:embedItalic r:id="rId3" w:fontKey="{1E0EA57D-FF25-453F-BF83-0517B116386B}"/>
    <w:embedBoldItalic r:id="rId4" w:fontKey="{64F36B35-C229-47D5-B903-BE10AAC27C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93D698-AF42-405D-8BF9-90DB7CCE06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4D0"/>
    <w:rsid w:val="004140C6"/>
    <w:rsid w:val="00CC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6FE3"/>
  <w15:docId w15:val="{8E0553FC-BA15-46B7-9058-1879F870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W77RRF9QgnIeCen5RRlVM/cjQ==">CgMxLjA4AHIhMWFPWkF3cDlWZlZlZlBFcGF3alk2WGRfZ3BCcDAwbGdJ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Radhika Palav</cp:lastModifiedBy>
  <cp:revision>2</cp:revision>
  <dcterms:created xsi:type="dcterms:W3CDTF">2013-12-23T23:15:00Z</dcterms:created>
  <dcterms:modified xsi:type="dcterms:W3CDTF">2026-09-09T12:29:00Z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43755911-d115-4218-997c-ecfae14c81d1</vt:lpwstr>
  </property>
</Properties>
</file>