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>
          <w:b w:val="1"/>
          <w:bCs w:val="1"/>
        </w:rPr>
      </w:pPr>
      <w:bookmarkStart w:colFirst="0" w:colLast="0" w:name="_heading=h.g94p0i4hv739" w:id="0"/>
      <w:bookmarkEnd w:id="0"/>
      <w:r w:rsidDel="00000000" w:rsidR="00000000" w:rsidRPr="00000000">
        <w:rPr>
          <w:b w:val="1"/>
          <w:bCs w:val="1"/>
          <w:rtl w:val="0"/>
        </w:rPr>
        <w:t xml:space="preserve">Enterprise Copilot Architecture Document Template</w:t>
      </w:r>
    </w:p>
    <w:p w:rsidR="00000000" w:rsidDel="00000000" w:rsidP="00000000" w:rsidRDefault="00000000" w:rsidRPr="00000000" w14:paraId="00000002">
      <w:pPr>
        <w:pStyle w:val="Heading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rPr/>
      </w:pPr>
      <w:r w:rsidDel="00000000" w:rsidR="00000000" w:rsidRPr="00000000">
        <w:rPr>
          <w:rtl w:val="0"/>
        </w:rPr>
        <w:t xml:space="preserve">1. Copilot Studio Agent Architecture Summary</w:t>
      </w:r>
    </w:p>
    <w:tbl>
      <w:tblPr>
        <w:tblStyle w:val="Table1"/>
        <w:tblW w:w="10368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368"/>
        <w:tblGridChange w:id="0">
          <w:tblGrid>
            <w:gridCol w:w="10368"/>
          </w:tblGrid>
        </w:tblGridChange>
      </w:tblGrid>
      <w:tr>
        <w:trPr>
          <w:cantSplit w:val="0"/>
          <w:tblHeader w:val="0"/>
        </w:trPr>
        <w:tc>
          <w:tcPr>
            <w:shd w:fill="d9eaf7" w:val="clear"/>
          </w:tcPr>
          <w:p w:rsidR="00000000" w:rsidDel="00000000" w:rsidP="00000000" w:rsidRDefault="00000000" w:rsidRPr="00000000" w14:paraId="00000004">
            <w:pPr>
              <w:spacing w:after="0" w:before="0" w:line="240" w:lineRule="auto"/>
              <w:rPr/>
            </w:pPr>
            <w:r w:rsidDel="00000000" w:rsidR="00000000" w:rsidRPr="00000000">
              <w:rPr>
                <w:b w:val="1"/>
                <w:bCs w:val="1"/>
                <w:color w:val="1f1f1f"/>
                <w:sz w:val="18"/>
                <w:szCs w:val="18"/>
                <w:rtl w:val="0"/>
              </w:rPr>
              <w:t xml:space="preserve">Learner Response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20" w:hRule="atLeast"/>
          <w:tblHeader w:val="0"/>
        </w:trPr>
        <w:tc>
          <w:tcPr>
            <w:shd w:fill="f8f9fb" w:val="clear"/>
          </w:tcPr>
          <w:p w:rsidR="00000000" w:rsidDel="00000000" w:rsidP="00000000" w:rsidRDefault="00000000" w:rsidRPr="00000000" w14:paraId="00000005">
            <w:pPr>
              <w:spacing w:after="0" w:before="0" w:line="240" w:lineRule="auto"/>
              <w:rPr/>
            </w:pPr>
            <w:r w:rsidDel="00000000" w:rsidR="00000000" w:rsidRPr="00000000">
              <w:rPr>
                <w:b w:val="0"/>
                <w:bCs w:val="0"/>
                <w:color w:val="595959"/>
                <w:sz w:val="18"/>
                <w:szCs w:val="18"/>
                <w:rtl w:val="0"/>
              </w:rPr>
              <w:t xml:space="preserve">150–250 words. Cover financial analysis specialist agent, topic hierarchy, orchestration model, fallback, conversation flow, prompt library, grounding.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rPr/>
      </w:pPr>
      <w:r w:rsidDel="00000000" w:rsidR="00000000" w:rsidRPr="00000000">
        <w:rPr>
          <w:rtl w:val="0"/>
        </w:rPr>
        <w:t xml:space="preserve">2. Extensibility Architecture Summary</w:t>
      </w:r>
    </w:p>
    <w:tbl>
      <w:tblPr>
        <w:tblStyle w:val="Table2"/>
        <w:tblW w:w="10368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368"/>
        <w:tblGridChange w:id="0">
          <w:tblGrid>
            <w:gridCol w:w="10368"/>
          </w:tblGrid>
        </w:tblGridChange>
      </w:tblGrid>
      <w:tr>
        <w:trPr>
          <w:cantSplit w:val="0"/>
          <w:tblHeader w:val="0"/>
        </w:trPr>
        <w:tc>
          <w:tcPr>
            <w:shd w:fill="d9eaf7" w:val="clear"/>
          </w:tcPr>
          <w:p w:rsidR="00000000" w:rsidDel="00000000" w:rsidP="00000000" w:rsidRDefault="00000000" w:rsidRPr="00000000" w14:paraId="00000008">
            <w:pPr>
              <w:spacing w:after="0" w:before="0" w:line="240" w:lineRule="auto"/>
              <w:rPr/>
            </w:pPr>
            <w:r w:rsidDel="00000000" w:rsidR="00000000" w:rsidRPr="00000000">
              <w:rPr>
                <w:b w:val="1"/>
                <w:bCs w:val="1"/>
                <w:color w:val="1f1f1f"/>
                <w:sz w:val="18"/>
                <w:szCs w:val="18"/>
                <w:rtl w:val="0"/>
              </w:rPr>
              <w:t xml:space="preserve">Learner Response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20" w:hRule="atLeast"/>
          <w:tblHeader w:val="0"/>
        </w:trPr>
        <w:tc>
          <w:tcPr>
            <w:shd w:fill="f8f9fb" w:val="clear"/>
          </w:tcPr>
          <w:p w:rsidR="00000000" w:rsidDel="00000000" w:rsidP="00000000" w:rsidRDefault="00000000" w:rsidRPr="00000000" w14:paraId="00000009">
            <w:pPr>
              <w:spacing w:after="0" w:before="0" w:line="240" w:lineRule="auto"/>
              <w:rPr/>
            </w:pPr>
            <w:r w:rsidDel="00000000" w:rsidR="00000000" w:rsidRPr="00000000">
              <w:rPr>
                <w:b w:val="0"/>
                <w:bCs w:val="0"/>
                <w:color w:val="595959"/>
                <w:sz w:val="18"/>
                <w:szCs w:val="18"/>
                <w:rtl w:val="0"/>
              </w:rPr>
              <w:t xml:space="preserve">150–250 words. Cover MCP connector, Computer Use, A2A handoff, maintenance/failure considerations.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rPr/>
      </w:pPr>
      <w:r w:rsidDel="00000000" w:rsidR="00000000" w:rsidRPr="00000000">
        <w:rPr>
          <w:rtl w:val="0"/>
        </w:rPr>
        <w:t xml:space="preserve">3. Microsoft 365 Copilot Surface Alignment Summary</w:t>
      </w:r>
    </w:p>
    <w:tbl>
      <w:tblPr>
        <w:tblStyle w:val="Table3"/>
        <w:tblW w:w="10368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368"/>
        <w:tblGridChange w:id="0">
          <w:tblGrid>
            <w:gridCol w:w="10368"/>
          </w:tblGrid>
        </w:tblGridChange>
      </w:tblGrid>
      <w:tr>
        <w:trPr>
          <w:cantSplit w:val="0"/>
          <w:tblHeader w:val="0"/>
        </w:trPr>
        <w:tc>
          <w:tcPr>
            <w:shd w:fill="d9eaf7" w:val="clear"/>
          </w:tcPr>
          <w:p w:rsidR="00000000" w:rsidDel="00000000" w:rsidP="00000000" w:rsidRDefault="00000000" w:rsidRPr="00000000" w14:paraId="0000000C">
            <w:pPr>
              <w:spacing w:after="0" w:before="0" w:line="240" w:lineRule="auto"/>
              <w:rPr/>
            </w:pPr>
            <w:r w:rsidDel="00000000" w:rsidR="00000000" w:rsidRPr="00000000">
              <w:rPr>
                <w:b w:val="1"/>
                <w:bCs w:val="1"/>
                <w:color w:val="1f1f1f"/>
                <w:sz w:val="18"/>
                <w:szCs w:val="18"/>
                <w:rtl w:val="0"/>
              </w:rPr>
              <w:t xml:space="preserve">Learner Response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20" w:hRule="atLeast"/>
          <w:tblHeader w:val="0"/>
        </w:trPr>
        <w:tc>
          <w:tcPr>
            <w:shd w:fill="f8f9fb" w:val="clear"/>
          </w:tcPr>
          <w:p w:rsidR="00000000" w:rsidDel="00000000" w:rsidP="00000000" w:rsidRDefault="00000000" w:rsidRPr="00000000" w14:paraId="0000000D">
            <w:pPr>
              <w:spacing w:after="0" w:before="0" w:line="240" w:lineRule="auto"/>
              <w:rPr/>
            </w:pPr>
            <w:r w:rsidDel="00000000" w:rsidR="00000000" w:rsidRPr="00000000">
              <w:rPr>
                <w:b w:val="0"/>
                <w:bCs w:val="0"/>
                <w:color w:val="595959"/>
                <w:sz w:val="18"/>
                <w:szCs w:val="18"/>
                <w:rtl w:val="0"/>
              </w:rPr>
              <w:t xml:space="preserve">150–250 words. Map proposal drafting, client meeting intelligence, and internal knowledge retrieval to surfaces and extensibility models.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rPr/>
      </w:pPr>
      <w:r w:rsidDel="00000000" w:rsidR="00000000" w:rsidRPr="00000000">
        <w:rPr>
          <w:rtl w:val="0"/>
        </w:rPr>
        <w:t xml:space="preserve">4. Copilot for Sales Configuration Summary</w:t>
      </w:r>
    </w:p>
    <w:tbl>
      <w:tblPr>
        <w:tblStyle w:val="Table4"/>
        <w:tblW w:w="10368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368"/>
        <w:tblGridChange w:id="0">
          <w:tblGrid>
            <w:gridCol w:w="10368"/>
          </w:tblGrid>
        </w:tblGridChange>
      </w:tblGrid>
      <w:tr>
        <w:trPr>
          <w:cantSplit w:val="0"/>
          <w:tblHeader w:val="0"/>
        </w:trPr>
        <w:tc>
          <w:tcPr>
            <w:shd w:fill="d9eaf7" w:val="clear"/>
          </w:tcPr>
          <w:p w:rsidR="00000000" w:rsidDel="00000000" w:rsidP="00000000" w:rsidRDefault="00000000" w:rsidRPr="00000000" w14:paraId="00000010">
            <w:pPr>
              <w:spacing w:after="0" w:before="0" w:line="240" w:lineRule="auto"/>
              <w:rPr/>
            </w:pPr>
            <w:r w:rsidDel="00000000" w:rsidR="00000000" w:rsidRPr="00000000">
              <w:rPr>
                <w:b w:val="1"/>
                <w:bCs w:val="1"/>
                <w:color w:val="1f1f1f"/>
                <w:sz w:val="18"/>
                <w:szCs w:val="18"/>
                <w:rtl w:val="0"/>
              </w:rPr>
              <w:t xml:space="preserve">Learner Response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20" w:hRule="atLeast"/>
          <w:tblHeader w:val="0"/>
        </w:trPr>
        <w:tc>
          <w:tcPr>
            <w:shd w:fill="f8f9fb" w:val="clear"/>
          </w:tcPr>
          <w:p w:rsidR="00000000" w:rsidDel="00000000" w:rsidP="00000000" w:rsidRDefault="00000000" w:rsidRPr="00000000" w14:paraId="00000011">
            <w:pPr>
              <w:spacing w:after="0" w:before="0" w:line="240" w:lineRule="auto"/>
              <w:rPr/>
            </w:pPr>
            <w:r w:rsidDel="00000000" w:rsidR="00000000" w:rsidRPr="00000000">
              <w:rPr>
                <w:b w:val="0"/>
                <w:bCs w:val="0"/>
                <w:color w:val="595959"/>
                <w:sz w:val="18"/>
                <w:szCs w:val="18"/>
                <w:rtl w:val="0"/>
              </w:rPr>
              <w:t xml:space="preserve">150–250 words. Cover Dynamics 365 Sales connector, field mapping, meeting intelligence, CRM updates, </w:t>
            </w:r>
            <w:r w:rsidDel="00000000" w:rsidR="00000000" w:rsidRPr="00000000">
              <w:rPr>
                <w:color w:val="595959"/>
                <w:sz w:val="18"/>
                <w:szCs w:val="18"/>
                <w:rtl w:val="0"/>
              </w:rPr>
              <w:t xml:space="preserve">and </w:t>
            </w:r>
            <w:r w:rsidDel="00000000" w:rsidR="00000000" w:rsidRPr="00000000">
              <w:rPr>
                <w:b w:val="0"/>
                <w:bCs w:val="0"/>
                <w:color w:val="595959"/>
                <w:sz w:val="18"/>
                <w:szCs w:val="18"/>
                <w:rtl w:val="0"/>
              </w:rPr>
              <w:t xml:space="preserve">email assistance decision.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rPr/>
      </w:pPr>
      <w:r w:rsidDel="00000000" w:rsidR="00000000" w:rsidRPr="00000000">
        <w:rPr>
          <w:rtl w:val="0"/>
        </w:rPr>
        <w:t xml:space="preserve">5. Integration Consistency Summary</w:t>
      </w:r>
    </w:p>
    <w:tbl>
      <w:tblPr>
        <w:tblStyle w:val="Table5"/>
        <w:tblW w:w="10368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368"/>
        <w:tblGridChange w:id="0">
          <w:tblGrid>
            <w:gridCol w:w="10368"/>
          </w:tblGrid>
        </w:tblGridChange>
      </w:tblGrid>
      <w:tr>
        <w:trPr>
          <w:cantSplit w:val="0"/>
          <w:tblHeader w:val="0"/>
        </w:trPr>
        <w:tc>
          <w:tcPr>
            <w:shd w:fill="d9eaf7" w:val="clear"/>
          </w:tcPr>
          <w:p w:rsidR="00000000" w:rsidDel="00000000" w:rsidP="00000000" w:rsidRDefault="00000000" w:rsidRPr="00000000" w14:paraId="00000014">
            <w:pPr>
              <w:spacing w:after="0" w:before="0" w:line="240" w:lineRule="auto"/>
              <w:rPr/>
            </w:pPr>
            <w:r w:rsidDel="00000000" w:rsidR="00000000" w:rsidRPr="00000000">
              <w:rPr>
                <w:b w:val="1"/>
                <w:bCs w:val="1"/>
                <w:color w:val="1f1f1f"/>
                <w:sz w:val="18"/>
                <w:szCs w:val="18"/>
                <w:rtl w:val="0"/>
              </w:rPr>
              <w:t xml:space="preserve">Learner Response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20" w:hRule="atLeast"/>
          <w:tblHeader w:val="0"/>
        </w:trPr>
        <w:tc>
          <w:tcPr>
            <w:shd w:fill="f8f9fb" w:val="clear"/>
          </w:tcPr>
          <w:p w:rsidR="00000000" w:rsidDel="00000000" w:rsidP="00000000" w:rsidRDefault="00000000" w:rsidRPr="00000000" w14:paraId="00000015">
            <w:pPr>
              <w:spacing w:after="0" w:before="0" w:line="240" w:lineRule="auto"/>
              <w:rPr/>
            </w:pPr>
            <w:r w:rsidDel="00000000" w:rsidR="00000000" w:rsidRPr="00000000">
              <w:rPr>
                <w:b w:val="0"/>
                <w:bCs w:val="0"/>
                <w:color w:val="595959"/>
                <w:sz w:val="18"/>
                <w:szCs w:val="18"/>
                <w:rtl w:val="0"/>
              </w:rPr>
              <w:t xml:space="preserve">150–250 words. Confirm four consistency checks and identify at least one real cross-component tension and resolution.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widowControl w:val="1"/>
        <w:spacing w:after="200" w:before="0" w:line="276" w:lineRule="auto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864" w:top="864" w:left="936" w:right="936" w:header="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pto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1f4e79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1f4e79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1f4e79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before="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="Calibri" w:cs="" w:eastAsia="ＭＳ ゴシック" w:hAnsi="Calibri"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="Calibri" w:cs="" w:eastAsia="ＭＳ ゴシック" w:hAnsi="Calibri"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="Calibri" w:cs="" w:eastAsia="ＭＳ ゴシック" w:hAnsi="Calibri"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 w:val="1"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 w:val="1"/>
    <w:rsid w:val="00E618BF"/>
    <w:rPr/>
  </w:style>
  <w:style w:type="character" w:styleId="DefaultParagraphFont" w:default="1">
    <w:name w:val="Default Paragraph Font"/>
    <w:uiPriority w:val="1"/>
    <w:semiHidden w:val="1"/>
    <w:unhideWhenUsed w:val="1"/>
    <w:qFormat w:val="1"/>
    <w:rPr/>
  </w:style>
  <w:style w:type="character" w:styleId="Heading1Char" w:customStyle="1">
    <w:name w:val="Heading 1 Char"/>
    <w:basedOn w:val="DefaultParagraphFont"/>
    <w:link w:val="Heading1"/>
    <w:uiPriority w:val="9"/>
    <w:qFormat w:val="1"/>
    <w:rsid w:val="00FC693F"/>
    <w:rPr>
      <w:rFonts w:ascii="Calibri" w:cs="" w:eastAsia="ＭＳ ゴシック" w:hAnsi="Calibri"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 w:val="1"/>
    <w:rsid w:val="00FC693F"/>
    <w:rPr>
      <w:rFonts w:ascii="Calibri" w:cs="" w:eastAsia="ＭＳ ゴシック" w:hAnsi="Calibri"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 w:val="1"/>
    <w:rsid w:val="00FC693F"/>
    <w:rPr>
      <w:rFonts w:ascii="Calibri" w:cs="" w:eastAsia="ＭＳ ゴシック" w:hAnsi="Calibri"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qFormat w:val="1"/>
    <w:rsid w:val="00FC693F"/>
    <w:rPr>
      <w:rFonts w:ascii="Calibri" w:cs="" w:eastAsia="ＭＳ ゴシック" w:hAnsi="Calibri" w:asciiTheme="majorHAnsi" w:cstheme="majorBidi" w:eastAsiaTheme="majorEastAsia" w:hAnsiTheme="majorHAnsi"/>
      <w:color w:val="17365d" w:themeColor="text2" w:themeShade="0000BF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 w:val="1"/>
    <w:rsid w:val="00FC693F"/>
    <w:rPr>
      <w:rFonts w:ascii="Calibri" w:cs="" w:eastAsia="ＭＳ ゴシック" w:hAnsi="Calibri"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character" w:styleId="BodyTextChar" w:customStyle="1">
    <w:name w:val="Body Text Char"/>
    <w:basedOn w:val="DefaultParagraphFont"/>
    <w:link w:val="BodyText"/>
    <w:uiPriority w:val="99"/>
    <w:qFormat w:val="1"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 w:val="1"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 w:val="1"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 w:val="1"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 w:val="1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qFormat w:val="1"/>
    <w:rsid w:val="00FC693F"/>
    <w:rPr>
      <w:rFonts w:ascii="Calibri" w:cs="" w:eastAsia="ＭＳ ゴシック" w:hAnsi="Calibri"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qFormat w:val="1"/>
    <w:rsid w:val="00FC693F"/>
    <w:rPr>
      <w:rFonts w:ascii="Calibri" w:cs="" w:eastAsia="ＭＳ ゴシック" w:hAnsi="Calibri"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qFormat w:val="1"/>
    <w:rsid w:val="00FC693F"/>
    <w:rPr>
      <w:rFonts w:ascii="Calibri" w:cs="" w:eastAsia="ＭＳ ゴシック" w:hAnsi="Calibri"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qFormat w:val="1"/>
    <w:rsid w:val="00FC693F"/>
    <w:rPr>
      <w:rFonts w:ascii="Calibri" w:cs="" w:eastAsia="ＭＳ ゴシック" w:hAnsi="Calibri"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qFormat w:val="1"/>
    <w:rsid w:val="00FC693F"/>
    <w:rPr>
      <w:rFonts w:ascii="Calibri" w:cs="" w:eastAsia="ＭＳ ゴシック" w:hAnsi="Calibri"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qFormat w:val="1"/>
    <w:rsid w:val="00FC693F"/>
    <w:rPr>
      <w:rFonts w:ascii="Calibri" w:cs="" w:eastAsia="ＭＳ ゴシック" w:hAnsi="Calibri"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character" w:styleId="IntenseQuoteChar" w:customStyle="1">
    <w:name w:val="Intense Quote Char"/>
    <w:basedOn w:val="DefaultParagraphFont"/>
    <w:link w:val="IntenseQuote"/>
    <w:uiPriority w:val="30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Heading">
    <w:name w:val="Heading"/>
    <w:basedOn w:val="Normal"/>
    <w:next w:val="TextBody"/>
    <w:qFormat w:val="1"/>
    <w:pPr>
      <w:keepNext w:val="1"/>
      <w:spacing w:after="120" w:before="240"/>
    </w:pPr>
    <w:rPr>
      <w:rFonts w:ascii="Liberation Sans" w:cs="Lohit Devanagari" w:eastAsia="Noto Sans CJK SC" w:hAnsi="Liberation Sans"/>
      <w:sz w:val="28"/>
      <w:szCs w:val="28"/>
    </w:rPr>
  </w:style>
  <w:style w:type="paragraph" w:styleId="TextBody">
    <w:name w:val="Body Text"/>
    <w:basedOn w:val="Normal"/>
    <w:link w:val="BodyTextChar"/>
    <w:uiPriority w:val="99"/>
    <w:unhideWhenUsed w:val="1"/>
    <w:rsid w:val="00AA1D8D"/>
    <w:pPr>
      <w:spacing w:after="120" w:before="0"/>
    </w:pPr>
    <w:rPr/>
  </w:style>
  <w:style w:type="paragraph" w:styleId="List">
    <w:name w:val="List"/>
    <w:basedOn w:val="Normal"/>
    <w:uiPriority w:val="99"/>
    <w:unhideWhenUsed w:val="1"/>
    <w:rsid w:val="00AA1D8D"/>
    <w:pPr>
      <w:spacing w:after="200" w:before="0"/>
      <w:ind w:left="360" w:hanging="360"/>
      <w:contextualSpacing w:val="1"/>
    </w:pPr>
    <w:rPr/>
  </w:style>
  <w:style w:type="paragraph" w:styleId="Caption">
    <w:name w:val="Caption"/>
    <w:basedOn w:val="Normal"/>
    <w:qFormat w:val="1"/>
    <w:pPr>
      <w:suppressLineNumbers w:val="1"/>
      <w:spacing w:after="120" w:before="120"/>
    </w:pPr>
    <w:rPr>
      <w:rFonts w:cs="Lohit Devanagari"/>
      <w:i w:val="1"/>
      <w:iCs w:val="1"/>
      <w:sz w:val="24"/>
      <w:szCs w:val="24"/>
    </w:rPr>
  </w:style>
  <w:style w:type="paragraph" w:styleId="Index">
    <w:name w:val="Index"/>
    <w:basedOn w:val="Normal"/>
    <w:qFormat w:val="1"/>
    <w:pPr>
      <w:suppressLineNumbers w:val="1"/>
    </w:pPr>
    <w:rPr>
      <w:rFonts w:cs="Lohit Devanagari"/>
    </w:rPr>
  </w:style>
  <w:style w:type="paragraph" w:styleId="HeaderandFooter">
    <w:name w:val="Header and Footer"/>
    <w:basedOn w:val="Normal"/>
    <w:qFormat w:val="1"/>
    <w:pPr/>
    <w:rPr/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lear" w:pos="720"/>
        <w:tab w:val="center" w:leader="none" w:pos="4680"/>
        <w:tab w:val="right" w:leader="none" w:pos="9360"/>
      </w:tabs>
      <w:spacing w:after="0" w:before="0" w:line="240" w:lineRule="auto"/>
    </w:pPr>
    <w:rPr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lear" w:pos="720"/>
        <w:tab w:val="center" w:leader="none" w:pos="4680"/>
        <w:tab w:val="right" w:leader="none" w:pos="9360"/>
      </w:tabs>
      <w:spacing w:after="0" w:before="0" w:line="240" w:lineRule="auto"/>
    </w:pPr>
    <w:rPr/>
  </w:style>
  <w:style w:type="paragraph" w:styleId="NoSpacing">
    <w:name w:val="No Spacing"/>
    <w:uiPriority w:val="1"/>
    <w:qFormat w:val="1"/>
    <w:rsid w:val="00FC693F"/>
    <w:pPr>
      <w:widowControl w:val="1"/>
      <w:bidi w:val="0"/>
      <w:spacing w:after="0" w:before="0" w:line="240" w:lineRule="auto"/>
      <w:jc w:val="left"/>
    </w:pPr>
    <w:rPr>
      <w:rFonts w:ascii="Cambria" w:cs="" w:eastAsia="ＭＳ 明朝" w:hAnsi="Cambria" w:asciiTheme="minorHAnsi" w:cstheme="minorBidi" w:eastAsiaTheme="minorEastAsia" w:hAnsiTheme="minorHAnsi"/>
      <w:color w:val="auto"/>
      <w:kern w:val="0"/>
      <w:sz w:val="20"/>
      <w:szCs w:val="22"/>
      <w:lang w:bidi="ar-SA" w:eastAsia="en-US" w:val="en-US"/>
    </w:rPr>
  </w:style>
  <w:style w:type="paragraph" w:styleId="ListParagraph">
    <w:name w:val="List Paragraph"/>
    <w:basedOn w:val="Normal"/>
    <w:uiPriority w:val="34"/>
    <w:qFormat w:val="1"/>
    <w:rsid w:val="00FC693F"/>
    <w:pPr>
      <w:spacing w:after="200" w:before="0"/>
      <w:ind w:left="720" w:hanging="0"/>
      <w:contextualSpacing w:val="1"/>
    </w:pPr>
    <w:rPr/>
  </w:style>
  <w:style w:type="paragraph" w:styleId="BodyText2">
    <w:name w:val="Body Text 2"/>
    <w:basedOn w:val="Normal"/>
    <w:link w:val="BodyText2Char"/>
    <w:uiPriority w:val="99"/>
    <w:unhideWhenUsed w:val="1"/>
    <w:qFormat w:val="1"/>
    <w:rsid w:val="00AA1D8D"/>
    <w:pPr>
      <w:spacing w:after="120" w:before="0" w:line="480" w:lineRule="auto"/>
    </w:pPr>
    <w:rPr/>
  </w:style>
  <w:style w:type="paragraph" w:styleId="BodyText3">
    <w:name w:val="Body Text 3"/>
    <w:basedOn w:val="Normal"/>
    <w:link w:val="BodyText3Char"/>
    <w:uiPriority w:val="99"/>
    <w:unhideWhenUsed w:val="1"/>
    <w:qFormat w:val="1"/>
    <w:rsid w:val="00AA1D8D"/>
    <w:pPr>
      <w:spacing w:after="120" w:before="0"/>
    </w:pPr>
    <w:rPr>
      <w:sz w:val="16"/>
      <w:szCs w:val="16"/>
    </w:rPr>
  </w:style>
  <w:style w:type="paragraph" w:styleId="List2">
    <w:name w:val="List Bullet 3"/>
    <w:basedOn w:val="Normal"/>
    <w:uiPriority w:val="99"/>
    <w:unhideWhenUsed w:val="1"/>
    <w:rsid w:val="00326F90"/>
    <w:pPr>
      <w:spacing w:after="200" w:before="0"/>
      <w:ind w:left="720" w:hanging="360"/>
      <w:contextualSpacing w:val="1"/>
    </w:pPr>
    <w:rPr/>
  </w:style>
  <w:style w:type="paragraph" w:styleId="List3">
    <w:name w:val="List Bullet 4"/>
    <w:basedOn w:val="Normal"/>
    <w:uiPriority w:val="99"/>
    <w:unhideWhenUsed w:val="1"/>
    <w:rsid w:val="00326F90"/>
    <w:pPr>
      <w:spacing w:after="200" w:before="0"/>
      <w:ind w:left="1080" w:hanging="360"/>
      <w:contextualSpacing w:val="1"/>
    </w:pPr>
    <w:rPr/>
  </w:style>
  <w:style w:type="paragraph" w:styleId="ListBullet">
    <w:name w:val="List Bullet"/>
    <w:basedOn w:val="Normal"/>
    <w:uiPriority w:val="99"/>
    <w:unhideWhenUsed w:val="1"/>
    <w:qFormat w:val="1"/>
    <w:rsid w:val="00326F90"/>
    <w:pPr>
      <w:spacing w:after="200" w:before="0"/>
      <w:contextualSpacing w:val="1"/>
    </w:pPr>
    <w:rPr/>
  </w:style>
  <w:style w:type="paragraph" w:styleId="ListBullet2">
    <w:name w:val="List Bullet 2"/>
    <w:basedOn w:val="Normal"/>
    <w:uiPriority w:val="99"/>
    <w:unhideWhenUsed w:val="1"/>
    <w:qFormat w:val="1"/>
    <w:rsid w:val="00326F90"/>
    <w:pPr>
      <w:spacing w:after="200" w:before="0"/>
      <w:contextualSpacing w:val="1"/>
    </w:pPr>
    <w:rPr/>
  </w:style>
  <w:style w:type="paragraph" w:styleId="ListBullet3">
    <w:name w:val="List Bullet 3"/>
    <w:basedOn w:val="Normal"/>
    <w:uiPriority w:val="99"/>
    <w:unhideWhenUsed w:val="1"/>
    <w:qFormat w:val="1"/>
    <w:rsid w:val="00326F90"/>
    <w:pPr>
      <w:spacing w:after="200" w:before="0"/>
      <w:contextualSpacing w:val="1"/>
    </w:pPr>
    <w:rPr/>
  </w:style>
  <w:style w:type="paragraph" w:styleId="ListNumber">
    <w:name w:val="List Number"/>
    <w:basedOn w:val="Normal"/>
    <w:uiPriority w:val="99"/>
    <w:unhideWhenUsed w:val="1"/>
    <w:qFormat w:val="1"/>
    <w:rsid w:val="00326F90"/>
    <w:pPr>
      <w:spacing w:after="200" w:before="0"/>
      <w:contextualSpacing w:val="1"/>
    </w:pPr>
    <w:rPr/>
  </w:style>
  <w:style w:type="paragraph" w:styleId="ListNumber2">
    <w:name w:val="List Number 2"/>
    <w:basedOn w:val="Normal"/>
    <w:uiPriority w:val="99"/>
    <w:unhideWhenUsed w:val="1"/>
    <w:qFormat w:val="1"/>
    <w:rsid w:val="0029639D"/>
    <w:pPr>
      <w:spacing w:after="200" w:before="0"/>
      <w:contextualSpacing w:val="1"/>
    </w:pPr>
    <w:rPr/>
  </w:style>
  <w:style w:type="paragraph" w:styleId="ListNumber3">
    <w:name w:val="List Number 3"/>
    <w:basedOn w:val="Normal"/>
    <w:uiPriority w:val="99"/>
    <w:unhideWhenUsed w:val="1"/>
    <w:qFormat w:val="1"/>
    <w:rsid w:val="0029639D"/>
    <w:pPr>
      <w:spacing w:after="200" w:before="0"/>
      <w:contextualSpacing w:val="1"/>
    </w:pPr>
    <w:rPr/>
  </w:style>
  <w:style w:type="paragraph" w:styleId="ListContinue">
    <w:name w:val="List Continue"/>
    <w:basedOn w:val="Normal"/>
    <w:uiPriority w:val="99"/>
    <w:unhideWhenUsed w:val="1"/>
    <w:qFormat w:val="1"/>
    <w:rsid w:val="0029639D"/>
    <w:pPr>
      <w:spacing w:after="120" w:before="0"/>
      <w:ind w:left="360" w:hanging="0"/>
      <w:contextualSpacing w:val="1"/>
    </w:pPr>
    <w:rPr/>
  </w:style>
  <w:style w:type="paragraph" w:styleId="ListContinue2">
    <w:name w:val="List Continue 2"/>
    <w:basedOn w:val="Normal"/>
    <w:uiPriority w:val="99"/>
    <w:unhideWhenUsed w:val="1"/>
    <w:qFormat w:val="1"/>
    <w:rsid w:val="0029639D"/>
    <w:pPr>
      <w:spacing w:after="120" w:before="0"/>
      <w:ind w:left="720" w:hanging="0"/>
      <w:contextualSpacing w:val="1"/>
    </w:pPr>
    <w:rPr/>
  </w:style>
  <w:style w:type="paragraph" w:styleId="ListContinue3">
    <w:name w:val="List Continue 3"/>
    <w:basedOn w:val="Normal"/>
    <w:uiPriority w:val="99"/>
    <w:unhideWhenUsed w:val="1"/>
    <w:qFormat w:val="1"/>
    <w:rsid w:val="0029639D"/>
    <w:pPr>
      <w:spacing w:after="120" w:before="0"/>
      <w:ind w:left="1080" w:hanging="0"/>
      <w:contextualSpacing w:val="1"/>
    </w:pPr>
    <w:rPr/>
  </w:style>
  <w:style w:type="paragraph" w:styleId="Macro">
    <w:name w:val="macro"/>
    <w:link w:val="MacroTextChar"/>
    <w:uiPriority w:val="99"/>
    <w:unhideWhenUsed w:val="1"/>
    <w:qFormat w:val="1"/>
    <w:rsid w:val="0029639D"/>
    <w:pPr>
      <w:widowControl w:val="1"/>
      <w:tabs>
        <w:tab w:val="clear" w:pos="720"/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bidi w:val="0"/>
      <w:spacing w:after="200" w:before="0" w:line="276" w:lineRule="auto"/>
      <w:jc w:val="left"/>
    </w:pPr>
    <w:rPr>
      <w:rFonts w:ascii="Courier" w:cs="" w:eastAsia="ＭＳ 明朝" w:hAnsi="Courier" w:cstheme="minorBidi" w:eastAsiaTheme="minorEastAsia"/>
      <w:color w:val="auto"/>
      <w:kern w:val="0"/>
      <w:sz w:val="20"/>
      <w:szCs w:val="20"/>
      <w:lang w:bidi="ar-SA" w:eastAsia="en-US" w:val="en-US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pPr/>
    <w:rPr>
      <w:i w:val="1"/>
      <w:iCs w:val="1"/>
      <w:color w:val="000000" w:themeColor="text1"/>
    </w:rPr>
  </w:style>
  <w:style w:type="paragraph" w:styleId="Caption1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val="single"/>
      </w:pBdr>
      <w:spacing w:after="280" w:before="200"/>
      <w:ind w:left="936" w:right="936" w:hanging="0"/>
    </w:pPr>
    <w:rPr>
      <w:b w:val="1"/>
      <w:bCs w:val="1"/>
      <w:i w:val="1"/>
      <w:iCs w:val="1"/>
      <w:color w:val="4f81bd" w:themeColor="accent1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/>
    <w:rPr/>
  </w:style>
  <w:style w:type="numbering" w:styleId="NoList" w:default="1">
    <w:name w:val="No List"/>
    <w:uiPriority w:val="99"/>
    <w:semiHidden w:val="1"/>
    <w:unhideWhenUsed w:val="1"/>
    <w:qFormat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  <w:tblPr/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  <w:tblPr/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  <w:tblPr/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  <w:tblPr/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  <w:tblPr/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  <w:tblPr/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  <w:tblPr/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val="single"/>
          <w:left w:color="404040" w:space="0" w:sz="8" w:themeColor="text1" w:val="single"/>
          <w:bottom w:color="404040" w:space="0" w:sz="8" w:themeColor="text1" w:val="single"/>
          <w:right w:color="404040" w:space="0" w:sz="8" w:themeColor="text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val="double"/>
          <w:left w:color="404040" w:space="0" w:sz="8" w:themeColor="text1" w:val="single"/>
          <w:bottom w:color="404040" w:space="0" w:sz="8" w:themeColor="text1" w:val="single"/>
          <w:right w:color="404040" w:space="0" w:sz="8" w:themeColor="text1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val="single"/>
          <w:left w:color="7ba0cd" w:space="0" w:sz="8" w:themeColor="accent1" w:val="single"/>
          <w:bottom w:color="7ba0cd" w:space="0" w:sz="8" w:themeColor="accent1" w:val="single"/>
          <w:right w:color="7ba0cd" w:space="0" w:sz="8" w:themeColor="accent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val="double"/>
          <w:left w:color="7ba0cd" w:space="0" w:sz="8" w:themeColor="accent1" w:val="single"/>
          <w:bottom w:color="7ba0cd" w:space="0" w:sz="8" w:themeColor="accent1" w:val="single"/>
          <w:right w:color="7ba0cd" w:space="0" w:sz="8" w:themeColor="accent1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val="single"/>
          <w:left w:color="cf7b79" w:space="0" w:sz="8" w:themeColor="accent2" w:val="single"/>
          <w:bottom w:color="cf7b79" w:space="0" w:sz="8" w:themeColor="accent2" w:val="single"/>
          <w:right w:color="cf7b79" w:space="0" w:sz="8" w:themeColor="accent2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val="double"/>
          <w:left w:color="cf7b79" w:space="0" w:sz="8" w:themeColor="accent2" w:val="single"/>
          <w:bottom w:color="cf7b79" w:space="0" w:sz="8" w:themeColor="accent2" w:val="single"/>
          <w:right w:color="cf7b79" w:space="0" w:sz="8" w:themeColor="accent2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val="single"/>
          <w:left w:color="b3cc82" w:space="0" w:sz="8" w:themeColor="accent3" w:val="single"/>
          <w:bottom w:color="b3cc82" w:space="0" w:sz="8" w:themeColor="accent3" w:val="single"/>
          <w:right w:color="b3cc82" w:space="0" w:sz="8" w:themeColor="accent3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val="double"/>
          <w:left w:color="b3cc82" w:space="0" w:sz="8" w:themeColor="accent3" w:val="single"/>
          <w:bottom w:color="b3cc82" w:space="0" w:sz="8" w:themeColor="accent3" w:val="single"/>
          <w:right w:color="b3cc82" w:space="0" w:sz="8" w:themeColor="accent3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val="single"/>
          <w:left w:color="9f8ab9" w:space="0" w:sz="8" w:themeColor="accent4" w:val="single"/>
          <w:bottom w:color="9f8ab9" w:space="0" w:sz="8" w:themeColor="accent4" w:val="single"/>
          <w:right w:color="9f8ab9" w:space="0" w:sz="8" w:themeColor="accent4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val="double"/>
          <w:left w:color="9f8ab9" w:space="0" w:sz="8" w:themeColor="accent4" w:val="single"/>
          <w:bottom w:color="9f8ab9" w:space="0" w:sz="8" w:themeColor="accent4" w:val="single"/>
          <w:right w:color="9f8ab9" w:space="0" w:sz="8" w:themeColor="accent4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val="single"/>
          <w:left w:color="78c0d4" w:space="0" w:sz="8" w:themeColor="accent5" w:val="single"/>
          <w:bottom w:color="78c0d4" w:space="0" w:sz="8" w:themeColor="accent5" w:val="single"/>
          <w:right w:color="78c0d4" w:space="0" w:sz="8" w:themeColor="accent5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val="double"/>
          <w:left w:color="78c0d4" w:space="0" w:sz="8" w:themeColor="accent5" w:val="single"/>
          <w:bottom w:color="78c0d4" w:space="0" w:sz="8" w:themeColor="accent5" w:val="single"/>
          <w:right w:color="78c0d4" w:space="0" w:sz="8" w:themeColor="accent5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val="single"/>
          <w:left w:color="f9b074" w:space="0" w:sz="8" w:themeColor="accent6" w:val="single"/>
          <w:bottom w:color="f9b074" w:space="0" w:sz="8" w:themeColor="accent6" w:val="single"/>
          <w:right w:color="f9b074" w:space="0" w:sz="8" w:themeColor="accent6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val="double"/>
          <w:left w:color="f9b074" w:space="0" w:sz="8" w:themeColor="accent6" w:val="single"/>
          <w:bottom w:color="f9b074" w:space="0" w:sz="8" w:themeColor="accent6" w:val="single"/>
          <w:right w:color="f9b074" w:space="0" w:sz="8" w:themeColor="accent6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  <w:tblPr/>
    </w:tblStylePr>
    <w:tblStylePr w:type="lastRow">
      <w:rPr>
        <w:b w:val="1"/>
        <w:bCs w:val="1"/>
      </w:rPr>
      <w:tblPr/>
      <w:tcPr>
        <w:tcBorders>
          <w:top w:color="404040" w:space="0" w:sz="18" w:themeColor="text1" w:val="single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  <w:tblPr/>
    </w:tblStylePr>
    <w:tblStylePr w:type="lastRow">
      <w:rPr>
        <w:b w:val="1"/>
        <w:bCs w:val="1"/>
      </w:rPr>
      <w:tblPr/>
      <w:tcPr>
        <w:tcBorders>
          <w:top w:color="7ba0cd" w:space="0" w:sz="18" w:themeColor="accent1" w:val="single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  <w:tblPr/>
    </w:tblStylePr>
    <w:tblStylePr w:type="lastRow">
      <w:rPr>
        <w:b w:val="1"/>
        <w:bCs w:val="1"/>
      </w:rPr>
      <w:tblPr/>
      <w:tcPr>
        <w:tcBorders>
          <w:top w:color="cf7b79" w:space="0" w:sz="18" w:themeColor="accent2" w:val="single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  <w:tblPr/>
    </w:tblStylePr>
    <w:tblStylePr w:type="lastRow">
      <w:rPr>
        <w:b w:val="1"/>
        <w:bCs w:val="1"/>
      </w:rPr>
      <w:tblPr/>
      <w:tcPr>
        <w:tcBorders>
          <w:top w:color="b3cc82" w:space="0" w:sz="18" w:themeColor="accent3" w:val="single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  <w:tblPr/>
    </w:tblStylePr>
    <w:tblStylePr w:type="lastRow">
      <w:rPr>
        <w:b w:val="1"/>
        <w:bCs w:val="1"/>
      </w:rPr>
      <w:tblPr/>
      <w:tcPr>
        <w:tcBorders>
          <w:top w:color="9f8ab9" w:space="0" w:sz="18" w:themeColor="accent4" w:val="single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  <w:tblPr/>
    </w:tblStylePr>
    <w:tblStylePr w:type="lastRow">
      <w:rPr>
        <w:b w:val="1"/>
        <w:bCs w:val="1"/>
      </w:rPr>
      <w:tblPr/>
      <w:tcPr>
        <w:tcBorders>
          <w:top w:color="78c0d4" w:space="0" w:sz="18" w:themeColor="accent5" w:val="single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  <w:tblPr/>
    </w:tblStylePr>
    <w:tblStylePr w:type="lastRow">
      <w:rPr>
        <w:b w:val="1"/>
        <w:bCs w:val="1"/>
      </w:rPr>
      <w:tblPr/>
      <w:tcPr>
        <w:tcBorders>
          <w:top w:color="f9b074" w:space="0" w:sz="18" w:themeColor="accent6" w:val="single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m5X3b3gvcaHkFJs2GdhIwFK2VNQ==">CgMxLjAyDmguZzk0cDBpNGh2NzM5OABqIgoUc3VnZ2VzdC5lc2Z3bzc2cDJ0bzYSClByYWxveSBSb3lqIgoUc3VnZ2VzdC5ucnU3aDZhc3VqY3ASClByYWxveSBSb3lqIgoUc3VnZ2VzdC5wcWU5ejZsa3h3eWsSClByYWxveSBSb3lqIgoUc3VnZ2VzdC55OGZlc2JmMjNiY3ESClByYWxveSBSb3lqIgoUc3VnZ2VzdC5rcmU0a2tjdno4eDISClByYWxveSBSb3lqIgoUc3VnZ2VzdC5xZzBhcTg3OG9ia2QSClByYWxveSBSb3lqIgoUc3VnZ2VzdC5nOGZlYXV1NGZ3MXISClByYWxveSBSb3lqIgoUc3VnZ2VzdC5yYnJtYTJvMnJzcmESClByYWxveSBSb3lqIgoUc3VnZ2VzdC54dmg1MXJ0bGQxcjgSClByYWxveSBSb3lyITFhQkZHakpYRGR2WElGbEJKUzM4ZU5nRmJsUWc1YW9Vc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14.0000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