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38m8veocon3n" w:id="0"/>
      <w:bookmarkEnd w:id="0"/>
      <w:r w:rsidDel="00000000" w:rsidR="00000000" w:rsidRPr="00000000">
        <w:rPr>
          <w:b w:val="1"/>
          <w:bCs w:val="1"/>
          <w:rtl w:val="0"/>
        </w:rPr>
        <w:t xml:space="preserve">Professional Services Firm: Scenario Brief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Firm 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Northwind Advisory Group is a mid-size professional services firm with approximately 800 employees. The firm provides strategy consulting, financial due diligence, and post-merger integration advisory services to enterprise clients. The CTO is reviewing how Microsoft Copilot capabilities should be deployed across four active use cases before assigning development resources.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Four Use Cases</w:t>
      </w:r>
    </w:p>
    <w:tbl>
      <w:tblPr>
        <w:tblStyle w:val="Table1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if Misassigned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Proposal drafting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Draft first-pass client proposals using prior proposal language, service descriptions, and approved methodology content.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Partners, proposal managers,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Duplicate work in Copilot Studio instead of using Microsoft 365 productivity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Client meeting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Capture meeting notes, summarize next steps, and update opportunity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Client teams, sales leads, account owners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Meeting insights fail to connect to Dynamics 365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Internal 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Answer questions from the firm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 SharePoint knowledge base of methodologies, delivery templates, and policy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Consultants and project managers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Uses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wrong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knowledge-source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 pattern or duplicates Copilot Studio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analysis specialist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Retrieve financial-model outputs, normalize them, and generate analysis summaries through a multi-turn specialist agent.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Corporate finance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Poor variable handling or unreliable integration with financial systems delays client deliverables.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Environment Summary</w:t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Architecture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Used for Outlook, Teams, Word, SharePoint, and daily client work.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Primary surface for proposal drafting and internal knowledge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Dynamics 365 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CRM for opportunities, accounts, contacts, meeting records, and pipeline notes.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Required for Copilot for Sales client meeting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Proprietary financial modeling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API available. Returns model run status, valuation outputs, scenario assumptions, and sensitivity tables.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connector design; API-accessible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Legacy financial modeling web 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Browser-only interface. No public API. Used for older archived model outputs.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Candidate for Computer Use only if business value justifies maintenance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SharePoint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Contains delivery playbooks, proposal examples, methodology decks, and client-service policy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Native Microsoft 365 Knowledge Source configuration for Microsoft 365 Copilot.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Financial Modeling API Documentation Summary</w:t>
      </w:r>
    </w:p>
    <w:tbl>
      <w:tblPr>
        <w:tblStyle w:val="Table3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Base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Query model run metadata, retrieve valuation outputs, retrieve scenario assumptions,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and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retrieve sensitivity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OAuth 2.0 client credentials using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enterprise identity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client_id, engagement_id, model_run_id, scenario_name.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Key outputs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run_status, valuation_summary, assumptions_json, sensitivity_rows, generated_timestamp.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Known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API returns nested JSON. Some numeric fields require normalization before prompt action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Operational 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If API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is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unavailable,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agent must degrade gracefully and offer a manual analyst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CTO Review Criteria</w:t>
      </w:r>
    </w:p>
    <w:tbl>
      <w:tblPr>
        <w:tblStyle w:val="Table4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 CTO Will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Platform assignment defensibility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Each workflow is placed on Copilot Studio, Microsoft 365 Copilot, or Copilot for Sales for a scenario-specific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Extensibility 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is used for the API-accessible financial modeling system; Computer Use is limited to the no-API legacy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Conversation flow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data retrieval flow declares action type, variables, Power Automate transformation, and graceful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Governance and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Computer Use maintenance risk and fallback are documented; Microsoft 365 surface assignments do not duplicate Copilot Studio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Cross-component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The final section identifies a real tension and explains the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Ln0gs8NzlgrEGOHrj9egxXDvA==">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