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HR data preparation project success </w:t>
      </w:r>
      <w:r>
        <w:rPr>
          <w:spacing w:val="-2"/>
        </w:rPr>
        <w:t>checklist</w:t>
      </w:r>
    </w:p>
    <w:p>
      <w:pPr>
        <w:pStyle w:val="BodyText"/>
        <w:spacing w:line="278" w:lineRule="auto" w:before="156"/>
        <w:ind w:left="47" w:firstLine="0"/>
      </w:pPr>
      <w:r>
        <w:rPr/>
        <w:t>Use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checklist</w:t>
      </w:r>
      <w:r>
        <w:rPr>
          <w:spacing w:val="-3"/>
        </w:rPr>
        <w:t> </w:t>
      </w:r>
      <w:r>
        <w:rPr/>
        <w:t>before</w:t>
      </w:r>
      <w:r>
        <w:rPr>
          <w:spacing w:val="-3"/>
        </w:rPr>
        <w:t> </w:t>
      </w:r>
      <w:r>
        <w:rPr/>
        <w:t>submitting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PDF</w:t>
      </w:r>
      <w:r>
        <w:rPr>
          <w:spacing w:val="-3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package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final</w:t>
      </w:r>
      <w:r>
        <w:rPr>
          <w:spacing w:val="-3"/>
        </w:rPr>
        <w:t> </w:t>
      </w:r>
      <w:r>
        <w:rPr/>
        <w:t>CSV.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confirms</w:t>
      </w:r>
      <w:r>
        <w:rPr>
          <w:spacing w:val="-3"/>
        </w:rPr>
        <w:t> </w:t>
      </w:r>
      <w:r>
        <w:rPr/>
        <w:t>completeness without revealing the expected project answer state.</w:t>
      </w:r>
    </w:p>
    <w:p>
      <w:pPr>
        <w:pStyle w:val="Heading2"/>
        <w:spacing w:before="163"/>
      </w:pPr>
      <w:r>
        <w:rPr/>
        <w:t>Source and </w:t>
      </w:r>
      <w:r>
        <w:rPr>
          <w:spacing w:val="-2"/>
        </w:rPr>
        <w:t>reconciliation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40" w:lineRule="auto" w:before="125" w:after="0"/>
        <w:ind w:left="314" w:right="0" w:hanging="267"/>
        <w:jc w:val="left"/>
        <w:rPr>
          <w:sz w:val="21"/>
        </w:rPr>
      </w:pPr>
      <w:r>
        <w:rPr>
          <w:sz w:val="21"/>
        </w:rPr>
        <w:t>Only the supplied synthetic project files were </w:t>
      </w:r>
      <w:r>
        <w:rPr>
          <w:spacing w:val="-2"/>
          <w:sz w:val="21"/>
        </w:rPr>
        <w:t>used.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40" w:lineRule="auto" w:before="130" w:after="0"/>
        <w:ind w:left="314" w:right="0" w:hanging="267"/>
        <w:jc w:val="left"/>
        <w:rPr>
          <w:sz w:val="21"/>
        </w:rPr>
      </w:pPr>
      <w:r>
        <w:rPr>
          <w:sz w:val="21"/>
        </w:rPr>
        <w:t>Source files and their purposes are </w:t>
      </w:r>
      <w:r>
        <w:rPr>
          <w:spacing w:val="-2"/>
          <w:sz w:val="21"/>
        </w:rPr>
        <w:t>identifiable.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40" w:lineRule="auto" w:before="131" w:after="0"/>
        <w:ind w:left="314" w:right="0" w:hanging="267"/>
        <w:jc w:val="left"/>
        <w:rPr>
          <w:sz w:val="21"/>
        </w:rPr>
      </w:pPr>
      <w:r>
        <w:rPr>
          <w:sz w:val="21"/>
        </w:rPr>
        <w:t>Record-count, duplicate, unmatched, or conflicting-record checks are documented where </w:t>
      </w:r>
      <w:r>
        <w:rPr>
          <w:spacing w:val="-2"/>
          <w:sz w:val="21"/>
        </w:rPr>
        <w:t>relevant.</w:t>
      </w:r>
    </w:p>
    <w:p>
      <w:pPr>
        <w:pStyle w:val="Heading2"/>
      </w:pPr>
      <w:r>
        <w:rPr/>
        <w:t>Power Query and </w:t>
      </w:r>
      <w:r>
        <w:rPr>
          <w:spacing w:val="-2"/>
        </w:rPr>
        <w:t>cleansing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40" w:lineRule="auto" w:before="125" w:after="0"/>
        <w:ind w:left="314" w:right="0" w:hanging="267"/>
        <w:jc w:val="left"/>
        <w:rPr>
          <w:sz w:val="21"/>
        </w:rPr>
      </w:pPr>
      <w:r>
        <w:rPr>
          <w:sz w:val="21"/>
        </w:rPr>
        <w:t>The transformation workflow is repeatable and </w:t>
      </w:r>
      <w:r>
        <w:rPr>
          <w:spacing w:val="-2"/>
          <w:sz w:val="21"/>
        </w:rPr>
        <w:t>understandable.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40" w:lineRule="auto" w:before="131" w:after="0"/>
        <w:ind w:left="314" w:right="0" w:hanging="267"/>
        <w:jc w:val="left"/>
        <w:rPr>
          <w:sz w:val="21"/>
        </w:rPr>
      </w:pPr>
      <w:r>
        <w:rPr>
          <w:sz w:val="21"/>
        </w:rPr>
        <w:t>The PDF includes readable Power Query transformation </w:t>
      </w:r>
      <w:r>
        <w:rPr>
          <w:spacing w:val="-2"/>
          <w:sz w:val="21"/>
        </w:rPr>
        <w:t>evidence.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40" w:lineRule="auto" w:before="131" w:after="0"/>
        <w:ind w:left="314" w:right="0" w:hanging="267"/>
        <w:jc w:val="left"/>
        <w:rPr>
          <w:sz w:val="21"/>
        </w:rPr>
      </w:pPr>
      <w:r>
        <w:rPr>
          <w:sz w:val="21"/>
        </w:rPr>
        <w:t>Supported standardization decisions are documented; uncertain values are not silently </w:t>
      </w:r>
      <w:r>
        <w:rPr>
          <w:spacing w:val="-2"/>
          <w:sz w:val="21"/>
        </w:rPr>
        <w:t>guessed.</w:t>
      </w:r>
    </w:p>
    <w:p>
      <w:pPr>
        <w:pStyle w:val="Heading2"/>
      </w:pPr>
      <w:r>
        <w:rPr/>
        <w:t>Validation and </w:t>
      </w:r>
      <w:r>
        <w:rPr>
          <w:spacing w:val="-2"/>
        </w:rPr>
        <w:t>exceptions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40" w:lineRule="auto" w:before="125" w:after="0"/>
        <w:ind w:left="314" w:right="0" w:hanging="267"/>
        <w:jc w:val="left"/>
        <w:rPr>
          <w:sz w:val="21"/>
        </w:rPr>
      </w:pPr>
      <w:r>
        <w:rPr>
          <w:sz w:val="21"/>
        </w:rPr>
        <w:t>Field-level and record-level validation checks are </w:t>
      </w:r>
      <w:r>
        <w:rPr>
          <w:spacing w:val="-2"/>
          <w:sz w:val="21"/>
        </w:rPr>
        <w:t>visible.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40" w:lineRule="auto" w:before="131" w:after="0"/>
        <w:ind w:left="314" w:right="0" w:hanging="267"/>
        <w:jc w:val="left"/>
        <w:rPr>
          <w:sz w:val="21"/>
        </w:rPr>
      </w:pPr>
      <w:r>
        <w:rPr>
          <w:sz w:val="21"/>
        </w:rPr>
        <w:t>Meaningful failed checks have documented </w:t>
      </w:r>
      <w:r>
        <w:rPr>
          <w:spacing w:val="-2"/>
          <w:sz w:val="21"/>
        </w:rPr>
        <w:t>dispositions.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40" w:lineRule="auto" w:before="131" w:after="0"/>
        <w:ind w:left="314" w:right="0" w:hanging="267"/>
        <w:jc w:val="left"/>
        <w:rPr>
          <w:sz w:val="21"/>
        </w:rPr>
      </w:pPr>
      <w:r>
        <w:rPr>
          <w:sz w:val="21"/>
        </w:rPr>
        <w:t>The final dataset reflects the reviewed exception </w:t>
      </w:r>
      <w:r>
        <w:rPr>
          <w:spacing w:val="-2"/>
          <w:sz w:val="21"/>
        </w:rPr>
        <w:t>decisions.</w:t>
      </w:r>
    </w:p>
    <w:p>
      <w:pPr>
        <w:pStyle w:val="Heading2"/>
      </w:pPr>
      <w:r>
        <w:rPr/>
        <w:t>Reporting and </w:t>
      </w:r>
      <w:r>
        <w:rPr>
          <w:spacing w:val="-2"/>
        </w:rPr>
        <w:t>governance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40" w:lineRule="auto" w:before="125" w:after="0"/>
        <w:ind w:left="314" w:right="0" w:hanging="267"/>
        <w:jc w:val="left"/>
        <w:rPr>
          <w:sz w:val="21"/>
        </w:rPr>
      </w:pPr>
      <w:r>
        <w:rPr>
          <w:sz w:val="21"/>
        </w:rPr>
        <w:t>At least one PivotTable summary is built from the final validated </w:t>
      </w:r>
      <w:r>
        <w:rPr>
          <w:spacing w:val="-2"/>
          <w:sz w:val="21"/>
        </w:rPr>
        <w:t>dataset.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40" w:lineRule="auto" w:before="131" w:after="0"/>
        <w:ind w:left="314" w:right="0" w:hanging="267"/>
        <w:jc w:val="left"/>
        <w:rPr>
          <w:sz w:val="21"/>
        </w:rPr>
      </w:pPr>
      <w:r>
        <w:rPr>
          <w:sz w:val="21"/>
        </w:rPr>
        <w:t>Source traceability, definitions/assumptions, controls, and exception notes are </w:t>
      </w:r>
      <w:r>
        <w:rPr>
          <w:spacing w:val="-2"/>
          <w:sz w:val="21"/>
        </w:rPr>
        <w:t>documented.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40" w:lineRule="auto" w:before="131" w:after="0"/>
        <w:ind w:left="314" w:right="0" w:hanging="267"/>
        <w:jc w:val="left"/>
        <w:rPr>
          <w:sz w:val="21"/>
        </w:rPr>
      </w:pPr>
      <w:r>
        <w:rPr>
          <w:sz w:val="21"/>
        </w:rPr>
        <w:t>Any Copilot-assisted step includes the prompt, output, verification, and </w:t>
      </w:r>
      <w:r>
        <w:rPr>
          <w:spacing w:val="-2"/>
          <w:sz w:val="21"/>
        </w:rPr>
        <w:t>decision.</w:t>
      </w:r>
    </w:p>
    <w:p>
      <w:pPr>
        <w:pStyle w:val="Heading2"/>
      </w:pPr>
      <w:r>
        <w:rPr/>
        <w:t>Final submission cross-</w:t>
      </w:r>
      <w:r>
        <w:rPr>
          <w:spacing w:val="-2"/>
        </w:rPr>
        <w:t>check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40" w:lineRule="auto" w:before="125" w:after="0"/>
        <w:ind w:left="314" w:right="0" w:hanging="267"/>
        <w:jc w:val="left"/>
        <w:rPr>
          <w:sz w:val="21"/>
        </w:rPr>
      </w:pPr>
      <w:r>
        <w:rPr>
          <w:sz w:val="21"/>
        </w:rPr>
        <w:t>The PDF is readable and tells the preparation story from source to final </w:t>
      </w:r>
      <w:r>
        <w:rPr>
          <w:spacing w:val="-2"/>
          <w:sz w:val="21"/>
        </w:rPr>
        <w:t>output.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40" w:lineRule="auto" w:before="131" w:after="0"/>
        <w:ind w:left="314" w:right="0" w:hanging="267"/>
        <w:jc w:val="left"/>
        <w:rPr>
          <w:sz w:val="21"/>
        </w:rPr>
      </w:pPr>
      <w:r>
        <w:rPr>
          <w:sz w:val="21"/>
        </w:rPr>
        <w:t>The CSV contains one flat analysis-ready table with a header </w:t>
      </w:r>
      <w:r>
        <w:rPr>
          <w:spacing w:val="-4"/>
          <w:sz w:val="21"/>
        </w:rPr>
        <w:t>row.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40" w:lineRule="auto" w:before="131" w:after="0"/>
        <w:ind w:left="314" w:right="0" w:hanging="267"/>
        <w:jc w:val="left"/>
        <w:rPr>
          <w:sz w:val="21"/>
        </w:rPr>
      </w:pPr>
      <w:r>
        <w:rPr>
          <w:sz w:val="21"/>
        </w:rPr>
        <w:t>The CSV matches the final reviewed data state shown in the </w:t>
      </w:r>
      <w:r>
        <w:rPr>
          <w:spacing w:val="-2"/>
          <w:sz w:val="21"/>
        </w:rPr>
        <w:t>evidence.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40" w:lineRule="auto" w:before="131" w:after="0"/>
        <w:ind w:left="314" w:right="0" w:hanging="267"/>
        <w:jc w:val="left"/>
        <w:rPr>
          <w:sz w:val="21"/>
        </w:rPr>
      </w:pPr>
      <w:r>
        <w:rPr>
          <w:sz w:val="21"/>
        </w:rPr>
        <w:t>Only the required PDF and CSV are prepared for LMS </w:t>
      </w:r>
      <w:r>
        <w:rPr>
          <w:spacing w:val="-2"/>
          <w:sz w:val="21"/>
        </w:rPr>
        <w:t>submission.</w:t>
      </w:r>
    </w:p>
    <w:sectPr>
      <w:type w:val="continuous"/>
      <w:pgSz w:w="12240" w:h="15840"/>
      <w:pgMar w:top="92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S Gothic">
    <w:altName w:val="MS Gothic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■"/>
      <w:lvlJc w:val="left"/>
      <w:pPr>
        <w:ind w:left="316" w:hanging="269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0" w:hanging="2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0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0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0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0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0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0" w:hanging="26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1"/>
      <w:ind w:left="314" w:hanging="267"/>
    </w:pPr>
    <w:rPr>
      <w:rFonts w:ascii="Arial MT" w:hAnsi="Arial MT" w:eastAsia="Arial MT" w:cs="Arial MT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ind w:left="549"/>
      <w:outlineLvl w:val="1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87"/>
      <w:ind w:left="47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1"/>
      <w:ind w:left="314" w:hanging="267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2026-09-28T06:39:52Z</dcterms:created>
  <dcterms:modified xsi:type="dcterms:W3CDTF">2026-09-28T06:39:52Z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LastSaved">
    <vt:filetime>2026-09-28T00:00:00Z</vt:filetime>
  </property>
</Properties>
</file>