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C5CAB"/>
          <w:sz w:val="40"/>
          <w:szCs w:val="40"/>
        </w:rPr>
        <w:t xml:space="preserve">Q2 2026 Workforce Review —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To</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South regional leader</w:t>
            </w:r>
          </w:p>
        </w:tc>
      </w:tr>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Copy</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South HR business partner; HR leadership team</w:t>
            </w:r>
          </w:p>
        </w:tc>
      </w:tr>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From</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HR Analyst</w:t>
            </w:r>
          </w:p>
        </w:tc>
      </w:tr>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Reporting period</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Q2 2026 (1 Apr – 30 Jun 2026), with Q1 2026 as the baseline</w:t>
            </w:r>
          </w:p>
        </w:tc>
      </w:tr>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Function in focus</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Escalations Ops (Support division); business-context measure: Backlog per FTE</w:t>
            </w:r>
          </w:p>
        </w:tc>
      </w:tr>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Leadership question</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“Which region needs the most immediate HR follow-up this quarter, and what evidence-proportionate action should we recommend to the regional leader?”</w:t>
            </w:r>
          </w:p>
        </w:tc>
      </w:tr>
      <w:tr>
        <w:trPr>
          <w:cantSplit/>
        </w:trPr>
        <w:tc>
          <w:tcPr>
            <w:tcW w:type="dxa" w:w="22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Data</w:t>
            </w:r>
          </w:p>
        </w:tc>
        <w:tc>
          <w:tcPr>
            <w:tcW w:type="dxa" w:w="75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rPr>
              <w:t xml:space="preserve">Fully synthetic project data (Northwind Health Group). Supporting evidence: Q2 2026 Workforce Review — Evidence Package (PDF) and workforce_summary.csv.</w:t>
            </w:r>
          </w:p>
        </w:tc>
      </w:tr>
    </w:tbl>
    <w:p>
      <w:pPr>
        <w:pStyle w:val="Heading1"/>
        <w:keepNext/>
      </w:pPr>
      <w:r>
        <w:t xml:space="preserve">Recommendation</w:t>
      </w:r>
    </w:p>
    <w:p>
      <w:pPr>
        <w:spacing w:after="100" w:before="0" w:line="276"/>
      </w:pPr>
      <w:r>
        <w:rPr>
          <w:color w:val="52514E"/>
          <w:sz w:val="18"/>
          <w:szCs w:val="18"/>
        </w:rPr>
        <w:t xml:space="preserve">Written recommendation (228 words, within the 150–250 word requirement in the workforce question brief).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140" w:before="0" w:line="276"/>
            </w:pPr>
            <w:r>
              <w:rPr>
                <w:color w:val="1A1A1A"/>
                <w:sz w:val="21"/>
                <w:szCs w:val="21"/>
              </w:rPr>
              <w:t xml:space="preserve">South needs the most immediate HR follow-up this quarter. The most decision-relevant pattern for current staffing pressure is concentrated voluntary attrition in South, compounded by weaker recruiting throughput. South holds 21% of the beginning-of-quarter population but accounts for 15 of the organization's 27 voluntary separations (56%): a 7.1% rate, against 1.4–1.8% in the other regions and 2.7% overall. It is the only region whose headcount fell (210 to 205). It hired as many joiners as North, so the decline reflects outflow rather than low hiring volume. Recruiting is a secondary pressure that slows replacement: 55.6% screened-to-interview conversion (organization 70.5%), 18 of 36 requisitions filled and a 45-day average time-to-fill. Backlog per FTE in Escalations Ops is 6.8, roughly double the other regions, so the pressure is visible operationally. South's L3 compa-ratio (0.98) is the lowest, but no supplied evidence shows that pay explains why people are leaving.</w:t>
            </w:r>
          </w:p>
          <w:p>
            <w:pPr>
              <w:spacing w:after="140" w:before="0" w:line="276"/>
            </w:pPr>
            <w:r>
              <w:rPr>
                <w:color w:val="1A1A1A"/>
                <w:sz w:val="21"/>
                <w:szCs w:val="21"/>
              </w:rPr>
              <w:t xml:space="preserve">I recommend a targeted South attrition diagnostic: review exit reasons for the 15 Q2 voluntary leavers and hold stay conversations with current Escalations Ops staff. The South HR business partner should own it, with a readout to the South regional leader within 30 days. This matches the strength of the evidence, which shows where attrition is concentrated but not why. The main limitation is that the data is descriptive and covers one quarter, with no exit reasons or Q1 attrition baseline.</w:t>
            </w:r>
          </w:p>
        </w:tc>
      </w:tr>
    </w:tbl>
    <w:p>
      <w:pPr>
        <w:spacing w:after="120" w:before="120" w:line="276"/>
      </w:pPr>
      <w:r>
        <w:rPr>
          <w:color w:val="52514E"/>
          <w:sz w:val="18"/>
          <w:szCs w:val="18"/>
        </w:rPr>
        <w:t xml:space="preserve">The sections below follow the recommendation template and set out the supporting reasoning.</w:t>
      </w:r>
    </w:p>
    <w:p>
      <w:pPr>
        <w:pStyle w:val="Heading1"/>
        <w:keepNext/>
      </w:pPr>
      <w:r>
        <w:t xml:space="preserve">Supported primary pattern</w:t>
      </w:r>
    </w:p>
    <w:p>
      <w:pPr>
        <w:keepNext/>
        <w:spacing w:after="120" w:before="0" w:line="276"/>
      </w:pPr>
      <w:r>
        <w:rPr>
          <w:b/>
          <w:bCs/>
          <w:color w:val="1A1A1A"/>
          <w:sz w:val="21"/>
          <w:szCs w:val="21"/>
        </w:rPr>
        <w:t xml:space="preserve">Concentrated voluntary attrition in South.</w:t>
      </w:r>
      <w:r>
        <w:rPr>
          <w:color w:val="1A1A1A"/>
          <w:sz w:val="21"/>
          <w:szCs w:val="21"/>
        </w:rPr>
        <w:t xml:space="preserve"> The elevated pattern is concentrated in one region, not spread across the organization. North, Central and West sit in a narrow 1.4–1.8% band; South is 7.1%. Rates use the approved denominator (beginning-of-quarter population) and the organization rate is calculated from totals, not by averaging regional rates.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6"/>
        <w:gridCol w:w="1900"/>
        <w:gridCol w:w="1900"/>
        <w:gridCol w:w="1900"/>
        <w:gridCol w:w="1900"/>
      </w:tblGrid>
      <w:tr>
        <w:trPr>
          <w:cantSplit/>
          <w:tblHeader/>
        </w:trPr>
        <w:tc>
          <w:tcPr>
            <w:tcW w:type="dxa" w:w="21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pPr>
            <w:r>
              <w:rPr>
                <w:b/>
                <w:bCs/>
                <w:color w:val="1A1A1A"/>
                <w:sz w:val="18"/>
                <w:szCs w:val="18"/>
              </w:rPr>
              <w:t xml:space="preserve">Region</w:t>
            </w:r>
          </w:p>
        </w:tc>
        <w:tc>
          <w:tcPr>
            <w:tcW w:type="dxa" w:w="19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Beginning population</w:t>
            </w:r>
          </w:p>
        </w:tc>
        <w:tc>
          <w:tcPr>
            <w:tcW w:type="dxa" w:w="19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Voluntary separations (Q2)</w:t>
            </w:r>
          </w:p>
        </w:tc>
        <w:tc>
          <w:tcPr>
            <w:tcW w:type="dxa" w:w="19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Voluntary attrition rate</w:t>
            </w:r>
          </w:p>
        </w:tc>
        <w:tc>
          <w:tcPr>
            <w:tcW w:type="dxa" w:w="19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Share of voluntary separations</w:t>
            </w:r>
          </w:p>
        </w:tc>
      </w:tr>
      <w:tr>
        <w:trPr>
          <w:cantSplit/>
        </w:trPr>
        <w:tc>
          <w:tcPr>
            <w:tcW w:type="dxa" w:w="21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color w:val="1A1A1A"/>
                <w:sz w:val="18"/>
                <w:szCs w:val="18"/>
              </w:rPr>
              <w:t xml:space="preserve">North</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340</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5</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1.5%</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18.5%</w:t>
            </w:r>
          </w:p>
        </w:tc>
      </w:tr>
      <w:tr>
        <w:trPr>
          <w:cantSplit/>
        </w:trPr>
        <w:tc>
          <w:tcPr>
            <w:tcW w:type="dxa" w:w="21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color w:val="1A1A1A"/>
                <w:sz w:val="18"/>
                <w:szCs w:val="18"/>
              </w:rPr>
              <w:t xml:space="preserve">Central</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280</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4</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1.4%</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14.8%</w:t>
            </w:r>
          </w:p>
        </w:tc>
      </w:tr>
      <w:tr>
        <w:trPr>
          <w:cantSplit/>
        </w:trPr>
        <w:tc>
          <w:tcPr>
            <w:tcW w:type="dxa" w:w="21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pPr>
            <w:r>
              <w:rPr>
                <w:b/>
                <w:bCs/>
                <w:color w:val="1A1A1A"/>
                <w:sz w:val="18"/>
                <w:szCs w:val="18"/>
              </w:rPr>
              <w:t xml:space="preserve">South</w:t>
            </w:r>
          </w:p>
        </w:tc>
        <w:tc>
          <w:tcPr>
            <w:tcW w:type="dxa" w:w="19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jc w:val="center"/>
            </w:pPr>
            <w:r>
              <w:rPr>
                <w:color w:val="1A1A1A"/>
                <w:sz w:val="18"/>
                <w:szCs w:val="18"/>
              </w:rPr>
              <w:t xml:space="preserve">210</w:t>
            </w:r>
          </w:p>
        </w:tc>
        <w:tc>
          <w:tcPr>
            <w:tcW w:type="dxa" w:w="19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15</w:t>
            </w:r>
          </w:p>
        </w:tc>
        <w:tc>
          <w:tcPr>
            <w:tcW w:type="dxa" w:w="19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7.1%</w:t>
            </w:r>
          </w:p>
        </w:tc>
        <w:tc>
          <w:tcPr>
            <w:tcW w:type="dxa" w:w="19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jc w:val="center"/>
            </w:pPr>
            <w:r>
              <w:rPr>
                <w:b/>
                <w:bCs/>
                <w:color w:val="1A1A1A"/>
                <w:sz w:val="18"/>
                <w:szCs w:val="18"/>
              </w:rPr>
              <w:t xml:space="preserve">55.6%</w:t>
            </w:r>
          </w:p>
        </w:tc>
      </w:tr>
      <w:tr>
        <w:trPr>
          <w:cantSplit/>
        </w:trPr>
        <w:tc>
          <w:tcPr>
            <w:tcW w:type="dxa" w:w="21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color w:val="1A1A1A"/>
                <w:sz w:val="18"/>
                <w:szCs w:val="18"/>
              </w:rPr>
              <w:t xml:space="preserve">West</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170</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3</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1.8%</w:t>
            </w:r>
          </w:p>
        </w:tc>
        <w:tc>
          <w:tcPr>
            <w:tcW w:type="dxa" w:w="19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jc w:val="center"/>
            </w:pPr>
            <w:r>
              <w:rPr>
                <w:color w:val="1A1A1A"/>
                <w:sz w:val="18"/>
                <w:szCs w:val="18"/>
              </w:rPr>
              <w:t xml:space="preserve">11.1%</w:t>
            </w:r>
          </w:p>
        </w:tc>
      </w:tr>
      <w:tr>
        <w:trPr>
          <w:cantSplit/>
        </w:trPr>
        <w:tc>
          <w:tcPr>
            <w:tcW w:type="dxa" w:w="21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Organization</w:t>
            </w:r>
          </w:p>
        </w:tc>
        <w:tc>
          <w:tcPr>
            <w:tcW w:type="dxa" w:w="19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1,000</w:t>
            </w:r>
          </w:p>
        </w:tc>
        <w:tc>
          <w:tcPr>
            <w:tcW w:type="dxa" w:w="19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27</w:t>
            </w:r>
          </w:p>
        </w:tc>
        <w:tc>
          <w:tcPr>
            <w:tcW w:type="dxa" w:w="19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2.7%</w:t>
            </w:r>
          </w:p>
        </w:tc>
        <w:tc>
          <w:tcPr>
            <w:tcW w:type="dxa" w:w="19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100%</w:t>
            </w:r>
          </w:p>
        </w:tc>
      </w:tr>
    </w:tbl>
    <w:p>
      <w:pPr>
        <w:spacing w:after="160" w:before="60"/>
      </w:pPr>
      <w:r>
        <w:rPr>
          <w:i/>
          <w:iCs/>
          <w:color w:val="52514E"/>
          <w:sz w:val="17"/>
          <w:szCs w:val="17"/>
        </w:rPr>
        <w:t xml:space="preserve">Source: Attrition_Summary (prepared_workforce_workbook.xlsx). Organization rate = 27 ÷ 1,000.</w:t>
      </w:r>
    </w:p>
    <w:p>
      <w:pPr>
        <w:pStyle w:val="ListParagraph"/>
        <w:numPr>
          <w:ilvl w:val="0"/>
          <w:numId w:val="2"/>
        </w:numPr>
        <w:spacing w:after="80" w:line="276"/>
      </w:pPr>
      <w:r>
        <w:rPr>
          <w:color w:val="1A1A1A"/>
          <w:sz w:val="21"/>
          <w:szCs w:val="21"/>
        </w:rPr>
        <w:t xml:space="preserve">South holds 21% of the beginning population but accounts for 56% of voluntary separations.</w:t>
      </w:r>
    </w:p>
    <w:p>
      <w:pPr>
        <w:pStyle w:val="ListParagraph"/>
        <w:numPr>
          <w:ilvl w:val="0"/>
          <w:numId w:val="2"/>
        </w:numPr>
        <w:spacing w:after="80" w:line="276"/>
      </w:pPr>
      <w:r>
        <w:rPr>
          <w:color w:val="1A1A1A"/>
          <w:sz w:val="21"/>
          <w:szCs w:val="21"/>
        </w:rPr>
        <w:t xml:space="preserve">At the other regions’ combined rate (1.5%), South would have had about 3 voluntary leavers; it had 15.</w:t>
      </w:r>
    </w:p>
    <w:p>
      <w:pPr>
        <w:pStyle w:val="ListParagraph"/>
        <w:numPr>
          <w:ilvl w:val="0"/>
          <w:numId w:val="2"/>
        </w:numPr>
        <w:spacing w:after="80" w:line="276"/>
      </w:pPr>
      <w:r>
        <w:rPr>
          <w:color w:val="1A1A1A"/>
          <w:sz w:val="21"/>
          <w:szCs w:val="21"/>
        </w:rPr>
        <w:t xml:space="preserve">The pattern explains South’s headcount decline arithmetically: South hired 11 joiners, the same as North, but lost 15 people voluntarily.</w:t>
      </w:r>
    </w:p>
    <w:p>
      <w:pPr>
        <w:pStyle w:val="Heading1"/>
        <w:keepNext/>
      </w:pPr>
      <w:r>
        <w:t xml:space="preserve">Secondary pressures</w:t>
      </w:r>
    </w:p>
    <w:p>
      <w:pPr>
        <w:pStyle w:val="ListParagraph"/>
        <w:numPr>
          <w:ilvl w:val="0"/>
          <w:numId w:val="2"/>
        </w:numPr>
        <w:spacing w:after="80" w:line="276"/>
      </w:pPr>
      <w:r>
        <w:rPr>
          <w:b/>
          <w:bCs/>
          <w:color w:val="1A1A1A"/>
          <w:sz w:val="21"/>
          <w:szCs w:val="21"/>
        </w:rPr>
        <w:t xml:space="preserve">Recruiting throughput (secondary pressure).</w:t>
      </w:r>
      <w:r>
        <w:rPr>
          <w:color w:val="1A1A1A"/>
          <w:sz w:val="21"/>
          <w:szCs w:val="21"/>
        </w:rPr>
        <w:t xml:space="preserve"> South has the most open requisitions (36), filled half of them (18), converts the fewest screened candidates to interview (55.6% vs 70.5% organization; 75.0–78.6% elsewhere) and takes the longest to fill a role (45 days vs 35.7 organization, weighted by requisitions filled). This slows replacement of leavers but does not explain why the outflow is concentrated in South.</w:t>
      </w:r>
    </w:p>
    <w:p>
      <w:pPr>
        <w:pStyle w:val="ListParagraph"/>
        <w:numPr>
          <w:ilvl w:val="0"/>
          <w:numId w:val="2"/>
        </w:numPr>
        <w:spacing w:after="80" w:line="276"/>
      </w:pPr>
      <w:r>
        <w:rPr>
          <w:b/>
          <w:bCs/>
          <w:color w:val="1A1A1A"/>
          <w:sz w:val="21"/>
          <w:szCs w:val="21"/>
        </w:rPr>
        <w:t xml:space="preserve">Headcount movement (supporting evidence).</w:t>
      </w:r>
      <w:r>
        <w:rPr>
          <w:color w:val="1A1A1A"/>
          <w:sz w:val="21"/>
          <w:szCs w:val="21"/>
        </w:rPr>
        <w:t xml:space="preserve"> South is the only region that shrank (210 → 205, −2.4%). The organization grew by 7 (1,000 → 1,007), which on its own would hide South’s decline.</w:t>
      </w:r>
    </w:p>
    <w:p>
      <w:pPr>
        <w:pStyle w:val="ListParagraph"/>
        <w:numPr>
          <w:ilvl w:val="0"/>
          <w:numId w:val="2"/>
        </w:numPr>
        <w:spacing w:after="80" w:line="276"/>
      </w:pPr>
      <w:r>
        <w:rPr>
          <w:b/>
          <w:bCs/>
          <w:color w:val="1A1A1A"/>
          <w:sz w:val="21"/>
          <w:szCs w:val="21"/>
        </w:rPr>
        <w:t xml:space="preserve">Business context.</w:t>
      </w:r>
      <w:r>
        <w:rPr>
          <w:color w:val="1A1A1A"/>
          <w:sz w:val="21"/>
          <w:szCs w:val="21"/>
        </w:rPr>
        <w:t xml:space="preserve"> Backlog per FTE in South’s Escalations Ops is 6.8, against 3.2–3.6 elsewhere (unweighted mean 4.25). The staffing pressure is visible operationally, but this measure covers Escalations Ops only and does not show that attrition caused the backlog.</w:t>
      </w:r>
    </w:p>
    <w:p>
      <w:pPr>
        <w:pStyle w:val="Heading1"/>
        <w:keepNext/>
      </w:pPr>
      <w:r>
        <w:t xml:space="preserve">Compensation context (verified)</w:t>
      </w:r>
    </w:p>
    <w:p>
      <w:pPr>
        <w:spacing w:after="120" w:before="0" w:line="276"/>
      </w:pPr>
      <w:r>
        <w:rPr>
          <w:color w:val="1A1A1A"/>
          <w:sz w:val="21"/>
          <w:szCs w:val="21"/>
        </w:rPr>
        <w:t xml:space="preserve">Compensation was compared within the same job level (L3) across regions, with sample size shown for each group. South’s average compa-ratio is the lowest (0.98, n = 40, SD 0.07), against 1.02 in North (n = 62), 0.99 in Central (n = 48) and 1.01 in West (n = 36). The gap to North is real at these sample sizes.</w:t>
      </w:r>
    </w:p>
    <w:p>
      <w:pPr>
        <w:spacing w:after="120" w:before="0" w:line="276"/>
      </w:pPr>
      <w:r>
        <w:rPr>
          <w:color w:val="1A1A1A"/>
          <w:sz w:val="21"/>
          <w:szCs w:val="21"/>
        </w:rPr>
        <w:t xml:space="preserve">However, </w:t>
      </w:r>
      <w:r>
        <w:rPr>
          <w:b/>
          <w:bCs/>
          <w:color w:val="1A1A1A"/>
          <w:sz w:val="21"/>
          <w:szCs w:val="21"/>
        </w:rPr>
        <w:t xml:space="preserve">no supplied evidence links compensation to the attrition pattern</w:t>
      </w:r>
      <w:r>
        <w:rPr>
          <w:color w:val="1A1A1A"/>
          <w:sz w:val="21"/>
          <w:szCs w:val="21"/>
        </w:rPr>
        <w:t xml:space="preserve">: there is no exit-reason data, no market benchmark and no employee-level link between pay and leaving. Central’s compa-ratio (0.99) cannot be told apart from South’s, yet Central has the lowest attrition (1.4%). The AI-assisted statement that low pay “explains why people are leaving” was therefore rejected. Compensation is context, not an explanation.</w:t>
      </w:r>
    </w:p>
    <w:p>
      <w:pPr>
        <w:pStyle w:val="Heading1"/>
        <w:keepNext/>
      </w:pPr>
      <w:r>
        <w:t xml:space="preserve">Response options compared</w:t>
      </w:r>
    </w:p>
    <w:p>
      <w:pPr>
        <w:keepNext/>
        <w:spacing w:after="120" w:before="0" w:line="276"/>
      </w:pPr>
      <w:r>
        <w:rPr>
          <w:color w:val="1A1A1A"/>
          <w:sz w:val="21"/>
          <w:szCs w:val="21"/>
        </w:rPr>
        <w:t xml:space="preserve">Three feasible options were assessed for fit to the evidence and to the current level of certainty.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2250"/>
        <w:gridCol w:w="1550"/>
        <w:gridCol w:w="1746"/>
      </w:tblGrid>
      <w:tr>
        <w:trPr>
          <w:cantSplit/>
          <w:tblHeader/>
        </w:trPr>
        <w:tc>
          <w:tcPr>
            <w:tcW w:type="dxa" w:w="20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pPr>
            <w:r>
              <w:rPr>
                <w:b/>
                <w:bCs/>
                <w:color w:val="1A1A1A"/>
                <w:sz w:val="18"/>
                <w:szCs w:val="18"/>
              </w:rPr>
              <w:t xml:space="preserve">Option</w:t>
            </w:r>
          </w:p>
        </w:tc>
        <w:tc>
          <w:tcPr>
            <w:tcW w:type="dxa" w:w="21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pPr>
            <w:r>
              <w:rPr>
                <w:b/>
                <w:bCs/>
                <w:color w:val="1A1A1A"/>
                <w:sz w:val="18"/>
                <w:szCs w:val="18"/>
              </w:rPr>
              <w:t xml:space="preserve">How directly it responds to the evidence</w:t>
            </w:r>
          </w:p>
        </w:tc>
        <w:tc>
          <w:tcPr>
            <w:tcW w:type="dxa" w:w="22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pPr>
            <w:r>
              <w:rPr>
                <w:b/>
                <w:bCs/>
                <w:color w:val="1A1A1A"/>
                <w:sz w:val="18"/>
                <w:szCs w:val="18"/>
              </w:rPr>
              <w:t xml:space="preserve">Fit to current certainty</w:t>
            </w:r>
          </w:p>
        </w:tc>
        <w:tc>
          <w:tcPr>
            <w:tcW w:type="dxa" w:w="15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pPr>
            <w:r>
              <w:rPr>
                <w:b/>
                <w:bCs/>
                <w:color w:val="1A1A1A"/>
                <w:sz w:val="18"/>
                <w:szCs w:val="18"/>
              </w:rPr>
              <w:t xml:space="preserve">Realistic owner</w:t>
            </w:r>
          </w:p>
        </w:tc>
        <w:tc>
          <w:tcPr>
            <w:tcW w:type="dxa" w:w="17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spacing w:after="40" w:line="252"/>
            </w:pPr>
            <w:r>
              <w:rPr>
                <w:b/>
                <w:bCs/>
                <w:color w:val="1A1A1A"/>
                <w:sz w:val="18"/>
                <w:szCs w:val="18"/>
              </w:rPr>
              <w:t xml:space="preserve">Decision</w:t>
            </w:r>
          </w:p>
        </w:tc>
      </w:tr>
      <w:tr>
        <w:trPr>
          <w:cantSplit/>
        </w:trPr>
        <w:tc>
          <w:tcPr>
            <w:tcW w:type="dxa" w:w="20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pPr>
            <w:r>
              <w:rPr>
                <w:b/>
                <w:bCs/>
                <w:color w:val="1A1A1A"/>
                <w:sz w:val="18"/>
                <w:szCs w:val="18"/>
              </w:rPr>
              <w:t xml:space="preserve">A. Targeted South attrition diagnostic:</w:t>
            </w:r>
            <w:r>
              <w:rPr>
                <w:color w:val="1A1A1A"/>
                <w:sz w:val="18"/>
                <w:szCs w:val="18"/>
              </w:rPr>
              <w:t xml:space="preserve"> exit-reason review of the 15 Q2 leavers plus stay conversations with current Escalations Ops staff</w:t>
            </w:r>
          </w:p>
        </w:tc>
        <w:tc>
          <w:tcPr>
            <w:tcW w:type="dxa" w:w="21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pPr>
            <w:r>
              <w:rPr>
                <w:b/>
                <w:bCs/>
                <w:color w:val="1A1A1A"/>
                <w:sz w:val="18"/>
                <w:szCs w:val="18"/>
              </w:rPr>
              <w:t xml:space="preserve">Directly.</w:t>
            </w:r>
            <w:r>
              <w:rPr>
                <w:color w:val="1A1A1A"/>
                <w:sz w:val="18"/>
                <w:szCs w:val="18"/>
              </w:rPr>
              <w:t xml:space="preserve"> Targets the primary pattern.</w:t>
            </w:r>
          </w:p>
        </w:tc>
        <w:tc>
          <w:tcPr>
            <w:tcW w:type="dxa" w:w="22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pPr>
            <w:r>
              <w:rPr>
                <w:b/>
                <w:bCs/>
                <w:color w:val="1A1A1A"/>
                <w:sz w:val="18"/>
                <w:szCs w:val="18"/>
              </w:rPr>
              <w:t xml:space="preserve">Strong.</w:t>
            </w:r>
            <w:r>
              <w:rPr>
                <w:color w:val="1A1A1A"/>
                <w:sz w:val="18"/>
                <w:szCs w:val="18"/>
              </w:rPr>
              <w:t xml:space="preserve"> We know where attrition is concentrated, not why; this collects the “why” first. Low cost, fast, reversible.</w:t>
            </w:r>
          </w:p>
        </w:tc>
        <w:tc>
          <w:tcPr>
            <w:tcW w:type="dxa" w:w="15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pPr>
            <w:r>
              <w:rPr>
                <w:color w:val="1A1A1A"/>
                <w:sz w:val="18"/>
                <w:szCs w:val="18"/>
              </w:rPr>
              <w:t xml:space="preserve">South HR business partner</w:t>
            </w:r>
          </w:p>
        </w:tc>
        <w:tc>
          <w:tcPr>
            <w:tcW w:type="dxa" w:w="17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spacing w:after="40" w:line="252"/>
            </w:pPr>
            <w:r>
              <w:rPr>
                <w:b/>
                <w:bCs/>
                <w:color w:val="1A1A1A"/>
                <w:sz w:val="18"/>
                <w:szCs w:val="18"/>
              </w:rPr>
              <w:t xml:space="preserve">Recommended</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b/>
                <w:bCs/>
                <w:color w:val="1A1A1A"/>
                <w:sz w:val="18"/>
                <w:szCs w:val="18"/>
              </w:rPr>
              <w:t xml:space="preserve">B. South recruiting acceleration:</w:t>
            </w:r>
            <w:r>
              <w:rPr>
                <w:color w:val="1A1A1A"/>
                <w:sz w:val="18"/>
                <w:szCs w:val="18"/>
              </w:rPr>
              <w:t xml:space="preserve"> funnel review to lift conversion and cut time-to-fill</w:t>
            </w:r>
          </w:p>
        </w:tc>
        <w:tc>
          <w:tcPr>
            <w:tcW w:type="dxa" w:w="2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b/>
                <w:bCs/>
                <w:color w:val="1A1A1A"/>
                <w:sz w:val="18"/>
                <w:szCs w:val="18"/>
              </w:rPr>
              <w:t xml:space="preserve">Partly.</w:t>
            </w:r>
            <w:r>
              <w:rPr>
                <w:color w:val="1A1A1A"/>
                <w:sz w:val="18"/>
                <w:szCs w:val="18"/>
              </w:rPr>
              <w:t xml:space="preserve"> Addresses slower replacement, not the concentrated outflow.</w:t>
            </w:r>
          </w:p>
        </w:tc>
        <w:tc>
          <w:tcPr>
            <w:tcW w:type="dxa" w:w="22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b/>
                <w:bCs/>
                <w:color w:val="1A1A1A"/>
                <w:sz w:val="18"/>
                <w:szCs w:val="18"/>
              </w:rPr>
              <w:t xml:space="preserve">Moderate.</w:t>
            </w:r>
            <w:r>
              <w:rPr>
                <w:color w:val="1A1A1A"/>
                <w:sz w:val="18"/>
                <w:szCs w:val="18"/>
              </w:rPr>
              <w:t xml:space="preserve"> Recruiting gap is well evidenced, but on its own this refills roles without addressing why people leave.</w:t>
            </w:r>
          </w:p>
        </w:tc>
        <w:tc>
          <w:tcPr>
            <w:tcW w:type="dxa" w:w="15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color w:val="1A1A1A"/>
                <w:sz w:val="18"/>
                <w:szCs w:val="18"/>
              </w:rPr>
              <w:t xml:space="preserve">Recruiting Operations lead (South)</w:t>
            </w:r>
          </w:p>
        </w:tc>
        <w:tc>
          <w:tcPr>
            <w:tcW w:type="dxa" w:w="17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spacing w:after="40" w:line="252"/>
            </w:pPr>
            <w:r>
              <w:rPr>
                <w:color w:val="1A1A1A"/>
                <w:sz w:val="18"/>
                <w:szCs w:val="18"/>
              </w:rPr>
              <w:t xml:space="preserve">Useful follow-on, not first</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C. Market pay adjustment for South L3</w:t>
            </w:r>
          </w:p>
        </w:tc>
        <w:tc>
          <w:tcPr>
            <w:tcW w:type="dxa" w:w="2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Weakly.</w:t>
            </w:r>
            <w:r>
              <w:rPr>
                <w:color w:val="1A1A1A"/>
                <w:sz w:val="18"/>
                <w:szCs w:val="18"/>
              </w:rPr>
              <w:t xml:space="preserve"> Responds to the rejected causal claim, not to verified evidence.</w:t>
            </w:r>
          </w:p>
        </w:tc>
        <w:tc>
          <w:tcPr>
            <w:tcW w:type="dxa" w:w="22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Poor.</w:t>
            </w:r>
            <w:r>
              <w:rPr>
                <w:color w:val="1A1A1A"/>
                <w:sz w:val="18"/>
                <w:szCs w:val="18"/>
              </w:rPr>
              <w:t xml:space="preserve"> No exit-reason or benchmark evidence that pay drives leaving; costly and hard to reverse.</w:t>
            </w:r>
          </w:p>
        </w:tc>
        <w:tc>
          <w:tcPr>
            <w:tcW w:type="dxa" w:w="15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Total Rewards lead</w:t>
            </w:r>
          </w:p>
        </w:tc>
        <w:tc>
          <w:tcPr>
            <w:tcW w:type="dxa" w:w="17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Not now; revisit only if A finds pay-related exit reasons</w:t>
            </w:r>
          </w:p>
        </w:tc>
      </w:tr>
    </w:tbl>
    <w:p>
      <w:pPr>
        <w:pStyle w:val="Heading1"/>
        <w:keepNext/>
      </w:pPr>
      <w:r>
        <w:t xml:space="preserve">Selected recommendation</w:t>
      </w:r>
    </w:p>
    <w:p>
      <w:pPr>
        <w:keepNext/>
        <w:spacing w:after="120" w:before="0" w:line="276"/>
      </w:pPr>
      <w:r>
        <w:rPr>
          <w:b/>
          <w:bCs/>
          <w:color w:val="1A1A1A"/>
          <w:sz w:val="21"/>
          <w:szCs w:val="21"/>
        </w:rPr>
        <w:t xml:space="preserve">Option A: a targeted South voluntary-attrition diagnostic.</w:t>
      </w:r>
    </w:p>
    <w:p>
      <w:pPr>
        <w:pStyle w:val="ListParagraph"/>
        <w:numPr>
          <w:ilvl w:val="0"/>
          <w:numId w:val="3"/>
        </w:numPr>
        <w:spacing w:after="80" w:line="276"/>
      </w:pPr>
      <w:r>
        <w:rPr>
          <w:color w:val="1A1A1A"/>
          <w:sz w:val="21"/>
          <w:szCs w:val="21"/>
        </w:rPr>
        <w:t xml:space="preserve">Review exit-interview or exit-survey records for the 15 Q2 voluntary leavers in South, profiled by function (including Escalations Ops), tenure, team and month of exit.</w:t>
      </w:r>
    </w:p>
    <w:p>
      <w:pPr>
        <w:pStyle w:val="ListParagraph"/>
        <w:numPr>
          <w:ilvl w:val="0"/>
          <w:numId w:val="3"/>
        </w:numPr>
        <w:spacing w:after="80" w:line="276"/>
      </w:pPr>
      <w:r>
        <w:rPr>
          <w:color w:val="1A1A1A"/>
          <w:sz w:val="21"/>
          <w:szCs w:val="21"/>
        </w:rPr>
        <w:t xml:space="preserve">Hold structured stay conversations with a sample of current South Escalations Ops employees.</w:t>
      </w:r>
    </w:p>
    <w:p>
      <w:pPr>
        <w:pStyle w:val="ListParagraph"/>
        <w:numPr>
          <w:ilvl w:val="0"/>
          <w:numId w:val="3"/>
        </w:numPr>
        <w:spacing w:after="80" w:line="276"/>
      </w:pPr>
      <w:r>
        <w:rPr>
          <w:color w:val="1A1A1A"/>
          <w:sz w:val="21"/>
          <w:szCs w:val="21"/>
        </w:rPr>
        <w:t xml:space="preserve">Give the South regional leader a short readout with the follow-up options the findings support, coordinating with Recruiting Operations on open South requisitions.</w:t>
      </w:r>
    </w:p>
    <w:p>
      <w:pPr>
        <w:spacing w:after="120" w:before="80" w:line="276"/>
      </w:pPr>
      <w:r>
        <w:rPr>
          <w:b/>
          <w:bCs/>
          <w:color w:val="1A1A1A"/>
          <w:sz w:val="21"/>
          <w:szCs w:val="21"/>
        </w:rPr>
        <w:t xml:space="preserve">Why this action:</w:t>
      </w:r>
      <w:r>
        <w:rPr>
          <w:color w:val="1A1A1A"/>
          <w:sz w:val="21"/>
          <w:szCs w:val="21"/>
        </w:rPr>
        <w:t xml:space="preserve"> it matches the strength of the evidence. The data shows clearly where attrition is concentrated but not why. A diagnostic is quick, low cost and reversible, and it produces the evidence needed before larger commitments such as pay changes or workload restructuring.</w:t>
      </w:r>
    </w:p>
    <w:p>
      <w:pPr>
        <w:pStyle w:val="Heading1"/>
        <w:keepNext/>
      </w:pPr>
      <w:r>
        <w:t xml:space="preserve">Owner</w:t>
      </w:r>
    </w:p>
    <w:p>
      <w:pPr>
        <w:pStyle w:val="ListParagraph"/>
        <w:numPr>
          <w:ilvl w:val="0"/>
          <w:numId w:val="2"/>
        </w:numPr>
        <w:spacing w:after="80" w:line="276"/>
      </w:pPr>
      <w:r>
        <w:rPr>
          <w:b/>
          <w:bCs/>
          <w:color w:val="1A1A1A"/>
          <w:sz w:val="21"/>
          <w:szCs w:val="21"/>
        </w:rPr>
        <w:t xml:space="preserve">Accountable owner:</w:t>
      </w:r>
      <w:r>
        <w:rPr>
          <w:color w:val="1A1A1A"/>
          <w:sz w:val="21"/>
          <w:szCs w:val="21"/>
        </w:rPr>
        <w:t xml:space="preserve"> South HR business partner.</w:t>
      </w:r>
    </w:p>
    <w:p>
      <w:pPr>
        <w:pStyle w:val="ListParagraph"/>
        <w:numPr>
          <w:ilvl w:val="0"/>
          <w:numId w:val="2"/>
        </w:numPr>
        <w:spacing w:after="80" w:line="276"/>
      </w:pPr>
      <w:r>
        <w:rPr>
          <w:b/>
          <w:bCs/>
          <w:color w:val="1A1A1A"/>
          <w:sz w:val="21"/>
          <w:szCs w:val="21"/>
        </w:rPr>
        <w:t xml:space="preserve">Sponsor and decision-maker:</w:t>
      </w:r>
      <w:r>
        <w:rPr>
          <w:color w:val="1A1A1A"/>
          <w:sz w:val="21"/>
          <w:szCs w:val="21"/>
        </w:rPr>
        <w:t xml:space="preserve"> South regional leader, who receives the readout and decides on any resulting actions.</w:t>
      </w:r>
    </w:p>
    <w:p>
      <w:pPr>
        <w:pStyle w:val="ListParagraph"/>
        <w:numPr>
          <w:ilvl w:val="0"/>
          <w:numId w:val="2"/>
        </w:numPr>
        <w:spacing w:after="80" w:line="276"/>
      </w:pPr>
      <w:r>
        <w:rPr>
          <w:b/>
          <w:bCs/>
          <w:color w:val="1A1A1A"/>
          <w:sz w:val="21"/>
          <w:szCs w:val="21"/>
        </w:rPr>
        <w:t xml:space="preserve">Contributors:</w:t>
      </w:r>
      <w:r>
        <w:rPr>
          <w:color w:val="1A1A1A"/>
          <w:sz w:val="21"/>
          <w:szCs w:val="21"/>
        </w:rPr>
        <w:t xml:space="preserve"> Escalations Ops manager (South) for access to staff; Recruiting Operations lead for the requisition picture.</w:t>
      </w:r>
    </w:p>
    <w:p>
      <w:pPr>
        <w:pStyle w:val="Heading1"/>
        <w:keepNext/>
      </w:pPr>
      <w:r>
        <w:t xml:space="preserve">Timing</w:t>
      </w:r>
    </w:p>
    <w:p>
      <w:pPr>
        <w:pStyle w:val="ListParagraph"/>
        <w:numPr>
          <w:ilvl w:val="0"/>
          <w:numId w:val="2"/>
        </w:numPr>
        <w:spacing w:after="80" w:line="276"/>
      </w:pPr>
      <w:r>
        <w:rPr>
          <w:b/>
          <w:bCs/>
          <w:color w:val="1A1A1A"/>
          <w:sz w:val="21"/>
          <w:szCs w:val="21"/>
        </w:rPr>
        <w:t xml:space="preserve">Start:</w:t>
      </w:r>
      <w:r>
        <w:rPr>
          <w:color w:val="1A1A1A"/>
          <w:sz w:val="21"/>
          <w:szCs w:val="21"/>
        </w:rPr>
        <w:t xml:space="preserve"> immediately after this Q2 2026 review.</w:t>
      </w:r>
    </w:p>
    <w:p>
      <w:pPr>
        <w:pStyle w:val="ListParagraph"/>
        <w:numPr>
          <w:ilvl w:val="0"/>
          <w:numId w:val="2"/>
        </w:numPr>
        <w:spacing w:after="80" w:line="276"/>
      </w:pPr>
      <w:r>
        <w:rPr>
          <w:b/>
          <w:bCs/>
          <w:color w:val="1A1A1A"/>
          <w:sz w:val="21"/>
          <w:szCs w:val="21"/>
        </w:rPr>
        <w:t xml:space="preserve">Readout:</w:t>
      </w:r>
      <w:r>
        <w:rPr>
          <w:color w:val="1A1A1A"/>
          <w:sz w:val="21"/>
          <w:szCs w:val="21"/>
        </w:rPr>
        <w:t xml:space="preserve"> within 30 days.</w:t>
      </w:r>
    </w:p>
    <w:p>
      <w:pPr>
        <w:pStyle w:val="ListParagraph"/>
        <w:numPr>
          <w:ilvl w:val="0"/>
          <w:numId w:val="2"/>
        </w:numPr>
        <w:spacing w:after="80" w:line="276"/>
      </w:pPr>
      <w:r>
        <w:rPr>
          <w:b/>
          <w:bCs/>
          <w:color w:val="1A1A1A"/>
          <w:sz w:val="21"/>
          <w:szCs w:val="21"/>
        </w:rPr>
        <w:t xml:space="preserve">Re-check:</w:t>
      </w:r>
      <w:r>
        <w:rPr>
          <w:color w:val="1A1A1A"/>
          <w:sz w:val="21"/>
          <w:szCs w:val="21"/>
        </w:rPr>
        <w:t xml:space="preserve"> compare South’s voluntary attrition with the Q2 baseline (7.1%) at the Q3 2026 review.</w:t>
      </w:r>
    </w:p>
    <w:p>
      <w:pPr>
        <w:pStyle w:val="Heading1"/>
        <w:keepNext/>
      </w:pPr>
      <w:r>
        <w:t xml:space="preserve">One material limitation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98500" w:sz="24"/>
              <w:bottom w:val="none" w:color="FFFFFF" w:sz="0"/>
              <w:right w:val="none" w:color="FFFFFF" w:sz="0"/>
            </w:tcBorders>
            <w:shd w:fill="FDF6E7" w:color="auto" w:val="clear"/>
            <w:tcMar>
              <w:top w:type="dxa" w:w="110"/>
              <w:left w:type="dxa" w:w="180"/>
              <w:bottom w:type="dxa" w:w="70"/>
              <w:right w:type="dxa" w:w="160"/>
            </w:tcMar>
          </w:tcPr>
          <w:p>
            <w:pPr>
              <w:spacing w:after="80" w:before="0" w:line="276"/>
            </w:pPr>
            <w:r>
              <w:rPr>
                <w:color w:val="1A1A1A"/>
                <w:sz w:val="21"/>
                <w:szCs w:val="21"/>
              </w:rPr>
              <w:t xml:space="preserve">The evidence is descriptive and covers a single quarter of attrition. It shows </w:t>
            </w:r>
            <w:r>
              <w:rPr>
                <w:b/>
                <w:bCs/>
                <w:color w:val="1A1A1A"/>
                <w:sz w:val="21"/>
                <w:szCs w:val="21"/>
              </w:rPr>
              <w:t xml:space="preserve">where</w:t>
            </w:r>
            <w:r>
              <w:rPr>
                <w:color w:val="1A1A1A"/>
                <w:sz w:val="21"/>
                <w:szCs w:val="21"/>
              </w:rPr>
              <w:t xml:space="preserve"> voluntary attrition is concentrated, but not </w:t>
            </w:r>
            <w:r>
              <w:rPr>
                <w:b/>
                <w:bCs/>
                <w:color w:val="1A1A1A"/>
                <w:sz w:val="21"/>
                <w:szCs w:val="21"/>
              </w:rPr>
              <w:t xml:space="preserve">why</w:t>
            </w:r>
            <w:r>
              <w:rPr>
                <w:color w:val="1A1A1A"/>
                <w:sz w:val="21"/>
                <w:szCs w:val="21"/>
              </w:rPr>
              <w:t xml:space="preserve"> people left, and with no Q1 attrition baseline it cannot show whether South’s 7.1% is a new spike or a persistent pattern.</w:t>
            </w:r>
          </w:p>
        </w:tc>
      </w:tr>
    </w:tbl>
    <w:p>
      <w:pPr>
        <w:spacing w:after="120" w:before="120" w:line="276"/>
      </w:pPr>
      <w:r>
        <w:rPr>
          <w:b/>
          <w:bCs/>
          <w:color w:val="1A1A1A"/>
          <w:sz w:val="21"/>
          <w:szCs w:val="21"/>
        </w:rPr>
        <w:t xml:space="preserve">Next evidence needed:</w:t>
      </w:r>
      <w:r>
        <w:rPr>
          <w:color w:val="1A1A1A"/>
          <w:sz w:val="21"/>
          <w:szCs w:val="21"/>
        </w:rPr>
        <w:t xml:space="preserve"> exit reasons for the 15 South leavers; Q1 2026 and earlier voluntary attrition by region; Escalations Ops FTE by region, so Backlog per FTE can be weighted and matched to the HR population.</w:t>
      </w:r>
    </w:p>
    <w:p>
      <w:pPr>
        <w:pStyle w:val="Heading1"/>
        <w:keepNext/>
      </w:pPr>
      <w:r>
        <w:t xml:space="preserve">Copilot use (prompt / output /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9"/>
                <w:szCs w:val="19"/>
              </w:rPr>
              <w:t xml:space="preserve">Field</w:t>
            </w:r>
          </w:p>
        </w:tc>
        <w:tc>
          <w:tcPr>
            <w:tcW w:type="dxa" w:w="74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9"/>
                <w:szCs w:val="19"/>
              </w:rPr>
              <w:t xml:space="preserve">Entry</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Prompt</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highlight w:val="yellow"/>
                <w:highlightCs w:val="yellow"/>
              </w:rPr>
              <w:t xml:space="preserve">Paste the exact prompt used in Copilot in Excel</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Output</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highlight w:val="yellow"/>
                <w:highlightCs w:val="yellow"/>
              </w:rPr>
              <w:t xml:space="preserve">Paste Copilot’s exact output</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9"/>
                <w:szCs w:val="19"/>
              </w:rPr>
              <w:t xml:space="preserve">Decision and reason</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9"/>
                <w:szCs w:val="19"/>
                <w:highlight w:val="yellow"/>
                <w:highlightCs w:val="yellow"/>
              </w:rPr>
              <w:t xml:space="preserve">Accept / Revise / Reject, with the evidence you checked it against</w:t>
            </w:r>
          </w:p>
        </w:tc>
      </w:tr>
    </w:tbl>
    <w:p>
      <w:pPr>
        <w:spacing w:after="120" w:before="120" w:line="276"/>
      </w:pPr>
      <w:r>
        <w:rPr>
          <w:color w:val="1A1A1A"/>
          <w:sz w:val="21"/>
          <w:szCs w:val="21"/>
        </w:rPr>
        <w:t xml:space="preserve">The full Copilot record is in Section 12 of the evidence package and the workbook’s Copilot_Record sheet. The supplied AI-assisted interpretation was validated separately: its descriptive statements were accepted and its causal claim about compensation was rejected (evidence package, Section 7).</w:t>
      </w:r>
    </w:p>
    <w:p>
      <w:pPr>
        <w:spacing w:after="120" w:before="0" w:line="276"/>
      </w:pPr>
      <w:r>
        <w:rPr>
          <w:b/>
          <w:bCs/>
          <w:color w:val="52514E"/>
          <w:sz w:val="19"/>
          <w:szCs w:val="19"/>
        </w:rPr>
        <w:t xml:space="preserve">Other AI assistance:</w:t>
      </w:r>
      <w:r>
        <w:rPr>
          <w:color w:val="52514E"/>
          <w:sz w:val="19"/>
          <w:szCs w:val="19"/>
        </w:rPr>
        <w:t xml:space="preserve"> an AI assistant (Claude, by Anthropic) was used to re-check calculations and draft text. Every value was verified against prepared_workforce_workbook.xlsx and the metric_definition_pack.</w:t>
      </w:r>
    </w:p>
    <w:p>
      <w:pPr>
        <w:pStyle w:val="Heading1"/>
        <w:keepNext/>
      </w:pPr>
      <w:r>
        <w:t xml:space="preserve">Appendix: summary values (as submitted in workforce_summary.csv)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46"/>
        <w:gridCol w:w="1300"/>
        <w:gridCol w:w="1300"/>
        <w:gridCol w:w="1300"/>
        <w:gridCol w:w="1300"/>
        <w:gridCol w:w="1500"/>
      </w:tblGrid>
      <w:tr>
        <w:trPr>
          <w:cantSplit/>
          <w:tblHeader/>
        </w:trPr>
        <w:tc>
          <w:tcPr>
            <w:tcW w:type="dxa" w:w="30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Measure</w:t>
            </w:r>
          </w:p>
        </w:tc>
        <w:tc>
          <w:tcPr>
            <w:tcW w:type="dxa" w:w="1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North</w:t>
            </w:r>
          </w:p>
        </w:tc>
        <w:tc>
          <w:tcPr>
            <w:tcW w:type="dxa" w:w="1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Central</w:t>
            </w:r>
          </w:p>
        </w:tc>
        <w:tc>
          <w:tcPr>
            <w:tcW w:type="dxa" w:w="1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South</w:t>
            </w:r>
          </w:p>
        </w:tc>
        <w:tc>
          <w:tcPr>
            <w:tcW w:type="dxa" w:w="1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West</w:t>
            </w:r>
          </w:p>
        </w:tc>
        <w:tc>
          <w:tcPr>
            <w:tcW w:type="dxa" w:w="15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Organization</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Q2 End Headcount</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345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285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205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172</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1,007</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Headcount Change</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+2</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+7</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Screened-to-Interview Conversion (%)</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78.6</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75.0</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55.6</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75.0</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70.5</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Time-to-Fill (days)</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32</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34</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45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30</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35.7</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Voluntary Attrition Rate (%)</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1.5</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1.4</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7.1</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1.8</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2.7</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Compa-Ratio (L3)</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1.02</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0.99</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0.98</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1.01</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1.00</w:t>
            </w:r>
          </w:p>
        </w:tc>
      </w:tr>
      <w:tr>
        <w:trPr>
          <w:cantSplit/>
        </w:trPr>
        <w:tc>
          <w:tcPr>
            <w:tcW w:type="dxa" w:w="30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Backlog per FTE (Escalations Ops)</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3.2</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3.6</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6.8</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3.4</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4.25*</w:t>
            </w:r>
          </w:p>
        </w:tc>
      </w:tr>
    </w:tbl>
    <w:p>
      <w:pPr>
        <w:spacing w:after="160" w:before="60"/>
      </w:pPr>
      <w:r>
        <w:rPr>
          <w:i/>
          <w:iCs/>
          <w:color w:val="52514E"/>
          <w:sz w:val="17"/>
          <w:szCs w:val="17"/>
        </w:rPr>
        <w:t xml:space="preserve">Organization values follow the metric definition pack: conversion and attrition from totals; time-to-fill weighted by requisitions filled; compa-ratio weighted by L3 sample size. *Backlog per FTE is an unweighted mean of the four regions (FTE weights not supplied), not a true organization rate.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Q2 2026 Workforce Review — Recommendation  ·  Fully synthetic project data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C5CA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2026 Workforce Review — Recommendation</dc:title>
  <dc:creator>HR Analyst</dc:creator>
  <cp:lastModifiedBy>Un-named</cp:lastModifiedBy>
  <cp:revision>1</cp:revision>
  <dcterms:created xsi:type="dcterms:W3CDTF">2026-10-29T01:58:04.665Z</dcterms:created>
  <dcterms:modified xsi:type="dcterms:W3CDTF">2026-10-29T01:58:04.665Z</dcterms:modified>
</cp:coreProperties>
</file>

<file path=docProps/custom.xml><?xml version="1.0" encoding="utf-8"?>
<Properties xmlns="http://schemas.openxmlformats.org/officeDocument/2006/custom-properties" xmlns:vt="http://schemas.openxmlformats.org/officeDocument/2006/docPropsVTypes"/>
</file>