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2879" w14:textId="77777777" w:rsidR="00106258" w:rsidRDefault="00000000">
      <w:pPr>
        <w:pStyle w:val="Heading1"/>
      </w:pPr>
      <w:r>
        <w:rPr>
          <w:color w:val="1F4D5E"/>
        </w:rPr>
        <w:t xml:space="preserve">Evidence Capture </w:t>
      </w:r>
      <w:r>
        <w:rPr>
          <w:color w:val="1F4D5E"/>
          <w:spacing w:val="-2"/>
        </w:rPr>
        <w:t>Guide</w:t>
      </w:r>
    </w:p>
    <w:p w14:paraId="647E77F5" w14:textId="77777777" w:rsidR="00106258" w:rsidRDefault="00000000">
      <w:pPr>
        <w:spacing w:before="100"/>
        <w:ind w:left="200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 xml:space="preserve">Assemble a readable and traceable 12-section PDF evidence </w:t>
      </w:r>
      <w:r>
        <w:rPr>
          <w:rFonts w:ascii="Arial"/>
          <w:i/>
          <w:color w:val="545454"/>
          <w:spacing w:val="-2"/>
          <w:sz w:val="20"/>
        </w:rPr>
        <w:t>package.</w:t>
      </w:r>
    </w:p>
    <w:p w14:paraId="62CCCF37" w14:textId="77777777" w:rsidR="00106258" w:rsidRDefault="00106258">
      <w:pPr>
        <w:pStyle w:val="BodyText"/>
        <w:spacing w:before="1"/>
        <w:ind w:left="0" w:firstLine="0"/>
        <w:rPr>
          <w:rFonts w:ascii="Arial"/>
          <w:i/>
          <w:sz w:val="20"/>
        </w:rPr>
      </w:pPr>
    </w:p>
    <w:p w14:paraId="66364952" w14:textId="77777777" w:rsidR="00106258" w:rsidRDefault="00000000">
      <w:pPr>
        <w:pStyle w:val="BodyText"/>
        <w:spacing w:before="0" w:line="278" w:lineRule="auto"/>
        <w:ind w:left="200" w:right="5" w:firstLine="0"/>
      </w:pPr>
      <w:r>
        <w:t>Your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sections,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labels.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grader</w:t>
      </w:r>
      <w:r>
        <w:rPr>
          <w:spacing w:val="-3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 xml:space="preserve">only what is visible in this PDF — it cannot open your Excel workbook, your Power BI report, or your other </w:t>
      </w:r>
      <w:r>
        <w:rPr>
          <w:spacing w:val="-2"/>
        </w:rPr>
        <w:t>submissions.</w:t>
      </w:r>
    </w:p>
    <w:p w14:paraId="4BA7AE8C" w14:textId="77777777" w:rsidR="00106258" w:rsidRDefault="00106258">
      <w:pPr>
        <w:pStyle w:val="BodyText"/>
        <w:spacing w:before="9"/>
        <w:ind w:left="0" w:firstLine="0"/>
        <w:rPr>
          <w:sz w:val="8"/>
        </w:rPr>
      </w:pPr>
    </w:p>
    <w:tbl>
      <w:tblPr>
        <w:tblW w:w="0" w:type="auto"/>
        <w:tblInd w:w="6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2800"/>
        <w:gridCol w:w="6720"/>
      </w:tblGrid>
      <w:tr w:rsidR="00106258" w14:paraId="6150374A" w14:textId="77777777">
        <w:trPr>
          <w:trHeight w:val="390"/>
        </w:trPr>
        <w:tc>
          <w:tcPr>
            <w:tcW w:w="440" w:type="dxa"/>
            <w:shd w:val="clear" w:color="auto" w:fill="1F4D5E"/>
          </w:tcPr>
          <w:p w14:paraId="7AE00FF1" w14:textId="77777777" w:rsidR="00106258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10"/>
                <w:sz w:val="19"/>
              </w:rPr>
              <w:t>#</w:t>
            </w:r>
          </w:p>
        </w:tc>
        <w:tc>
          <w:tcPr>
            <w:tcW w:w="2800" w:type="dxa"/>
            <w:shd w:val="clear" w:color="auto" w:fill="1F4D5E"/>
          </w:tcPr>
          <w:p w14:paraId="00D07DA7" w14:textId="77777777" w:rsidR="00106258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Required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section</w:t>
            </w:r>
          </w:p>
        </w:tc>
        <w:tc>
          <w:tcPr>
            <w:tcW w:w="6720" w:type="dxa"/>
            <w:shd w:val="clear" w:color="auto" w:fill="1F4D5E"/>
          </w:tcPr>
          <w:p w14:paraId="59710EC3" w14:textId="77777777" w:rsidR="00106258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What must be visible in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it</w:t>
            </w:r>
          </w:p>
        </w:tc>
      </w:tr>
      <w:tr w:rsidR="00106258" w14:paraId="150382BC" w14:textId="77777777">
        <w:trPr>
          <w:trHeight w:val="630"/>
        </w:trPr>
        <w:tc>
          <w:tcPr>
            <w:tcW w:w="440" w:type="dxa"/>
          </w:tcPr>
          <w:p w14:paraId="5D65FF20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2800" w:type="dxa"/>
          </w:tcPr>
          <w:p w14:paraId="2CF96863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Workforce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Question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and Business Context</w:t>
            </w:r>
          </w:p>
        </w:tc>
        <w:tc>
          <w:tcPr>
            <w:tcW w:w="6720" w:type="dxa"/>
          </w:tcPr>
          <w:p w14:paraId="772657CE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leadership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question,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reporting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periods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(Q1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2026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baseline,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Q2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2026 current), the function under focus, and the business-context measure.</w:t>
            </w:r>
          </w:p>
        </w:tc>
      </w:tr>
      <w:tr w:rsidR="00106258" w14:paraId="68B2DDDE" w14:textId="77777777">
        <w:trPr>
          <w:trHeight w:val="1110"/>
        </w:trPr>
        <w:tc>
          <w:tcPr>
            <w:tcW w:w="440" w:type="dxa"/>
            <w:shd w:val="clear" w:color="auto" w:fill="E9F0F2"/>
          </w:tcPr>
          <w:p w14:paraId="42BB1461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2800" w:type="dxa"/>
            <w:shd w:val="clear" w:color="auto" w:fill="E9F0F2"/>
          </w:tcPr>
          <w:p w14:paraId="1E099BEA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Metric-Definition </w:t>
            </w:r>
            <w:r>
              <w:rPr>
                <w:spacing w:val="-2"/>
                <w:sz w:val="19"/>
              </w:rPr>
              <w:t>Check</w:t>
            </w:r>
          </w:p>
        </w:tc>
        <w:tc>
          <w:tcPr>
            <w:tcW w:w="6720" w:type="dxa"/>
            <w:shd w:val="clear" w:color="auto" w:fill="E9F0F2"/>
          </w:tcPr>
          <w:p w14:paraId="71AF2F34" w14:textId="77777777" w:rsidR="00106258" w:rsidRDefault="00000000">
            <w:pPr>
              <w:pStyle w:val="TableParagraph"/>
              <w:spacing w:line="264" w:lineRule="auto"/>
              <w:ind w:right="534"/>
              <w:rPr>
                <w:sz w:val="19"/>
              </w:rPr>
            </w:pPr>
            <w:r>
              <w:rPr>
                <w:sz w:val="19"/>
              </w:rPr>
              <w:t>The governing definitions you verified, and any population, period, filter, denominator, date, or comparable-group rule that materially changes interpretation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including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denominator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 roll-up rule.</w:t>
            </w:r>
          </w:p>
        </w:tc>
      </w:tr>
      <w:tr w:rsidR="00106258" w14:paraId="0CD4C243" w14:textId="77777777">
        <w:trPr>
          <w:trHeight w:val="630"/>
        </w:trPr>
        <w:tc>
          <w:tcPr>
            <w:tcW w:w="440" w:type="dxa"/>
          </w:tcPr>
          <w:p w14:paraId="30F670C8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2800" w:type="dxa"/>
          </w:tcPr>
          <w:p w14:paraId="7951680B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Headcount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Movement </w:t>
            </w:r>
            <w:r>
              <w:rPr>
                <w:spacing w:val="-2"/>
                <w:sz w:val="19"/>
              </w:rPr>
              <w:t>Evidence</w:t>
            </w:r>
          </w:p>
        </w:tc>
        <w:tc>
          <w:tcPr>
            <w:tcW w:w="6720" w:type="dxa"/>
          </w:tcPr>
          <w:p w14:paraId="43116176" w14:textId="77777777" w:rsidR="00106258" w:rsidRDefault="00000000">
            <w:pPr>
              <w:pStyle w:val="TableParagraph"/>
              <w:spacing w:line="264" w:lineRule="auto"/>
              <w:ind w:right="534"/>
              <w:rPr>
                <w:sz w:val="19"/>
              </w:rPr>
            </w:pPr>
            <w:r>
              <w:rPr>
                <w:sz w:val="19"/>
              </w:rPr>
              <w:t>Point-in-time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headcount,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headcount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change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across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period,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 regional pattern. Keep the period label visible.</w:t>
            </w:r>
          </w:p>
        </w:tc>
      </w:tr>
      <w:tr w:rsidR="00106258" w14:paraId="532DE3E0" w14:textId="77777777">
        <w:trPr>
          <w:trHeight w:val="630"/>
        </w:trPr>
        <w:tc>
          <w:tcPr>
            <w:tcW w:w="440" w:type="dxa"/>
            <w:shd w:val="clear" w:color="auto" w:fill="E9F0F2"/>
          </w:tcPr>
          <w:p w14:paraId="592D4860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2800" w:type="dxa"/>
            <w:shd w:val="clear" w:color="auto" w:fill="E9F0F2"/>
          </w:tcPr>
          <w:p w14:paraId="393E6204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Recruiting </w:t>
            </w:r>
            <w:r>
              <w:rPr>
                <w:spacing w:val="-2"/>
                <w:sz w:val="19"/>
              </w:rPr>
              <w:t>Evidence</w:t>
            </w:r>
          </w:p>
        </w:tc>
        <w:tc>
          <w:tcPr>
            <w:tcW w:w="6720" w:type="dxa"/>
            <w:shd w:val="clear" w:color="auto" w:fill="E9F0F2"/>
          </w:tcPr>
          <w:p w14:paraId="294316CF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Requisition volume, Screened-to-Interview conversion, and </w:t>
            </w:r>
            <w:r>
              <w:rPr>
                <w:spacing w:val="-2"/>
                <w:sz w:val="19"/>
              </w:rPr>
              <w:t>average</w:t>
            </w:r>
          </w:p>
          <w:p w14:paraId="0DCED77F" w14:textId="77777777" w:rsidR="00106258" w:rsidRDefault="00000000"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 xml:space="preserve">time-to-fill, by region. Show that conversion is distinct from requisition fill </w:t>
            </w:r>
            <w:r>
              <w:rPr>
                <w:spacing w:val="-2"/>
                <w:sz w:val="19"/>
              </w:rPr>
              <w:t>rate.</w:t>
            </w:r>
          </w:p>
        </w:tc>
      </w:tr>
      <w:tr w:rsidR="00106258" w14:paraId="696E9842" w14:textId="77777777">
        <w:trPr>
          <w:trHeight w:val="870"/>
        </w:trPr>
        <w:tc>
          <w:tcPr>
            <w:tcW w:w="440" w:type="dxa"/>
          </w:tcPr>
          <w:p w14:paraId="228BDFD2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2800" w:type="dxa"/>
          </w:tcPr>
          <w:p w14:paraId="6B162DCA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Attrition </w:t>
            </w:r>
            <w:r>
              <w:rPr>
                <w:spacing w:val="-2"/>
                <w:sz w:val="19"/>
              </w:rPr>
              <w:t>Evidence</w:t>
            </w:r>
          </w:p>
        </w:tc>
        <w:tc>
          <w:tcPr>
            <w:tcW w:w="6720" w:type="dxa"/>
          </w:tcPr>
          <w:p w14:paraId="4CE7888E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Voluntary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region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approved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denominator,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 any elevated pattern is broad or concentrated. Keep rate and population context together.</w:t>
            </w:r>
          </w:p>
        </w:tc>
      </w:tr>
      <w:tr w:rsidR="00106258" w14:paraId="6963EEBF" w14:textId="77777777">
        <w:trPr>
          <w:trHeight w:val="870"/>
        </w:trPr>
        <w:tc>
          <w:tcPr>
            <w:tcW w:w="440" w:type="dxa"/>
            <w:shd w:val="clear" w:color="auto" w:fill="E9F0F2"/>
          </w:tcPr>
          <w:p w14:paraId="52D412AA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2800" w:type="dxa"/>
            <w:shd w:val="clear" w:color="auto" w:fill="E9F0F2"/>
          </w:tcPr>
          <w:p w14:paraId="2CDCD2CF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Compensation </w:t>
            </w:r>
            <w:r>
              <w:rPr>
                <w:spacing w:val="-2"/>
                <w:sz w:val="19"/>
              </w:rPr>
              <w:t>Evidence</w:t>
            </w:r>
          </w:p>
        </w:tc>
        <w:tc>
          <w:tcPr>
            <w:tcW w:w="6720" w:type="dxa"/>
            <w:shd w:val="clear" w:color="auto" w:fill="E9F0F2"/>
          </w:tcPr>
          <w:p w14:paraId="2E901AE1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Compa-ratio with its comparison controls (Region and Job Level) and the sample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size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group.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uncontrolled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average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 establish a segment-level pattern.</w:t>
            </w:r>
          </w:p>
        </w:tc>
      </w:tr>
      <w:tr w:rsidR="00106258" w14:paraId="5241E5F2" w14:textId="77777777">
        <w:trPr>
          <w:trHeight w:val="870"/>
        </w:trPr>
        <w:tc>
          <w:tcPr>
            <w:tcW w:w="440" w:type="dxa"/>
          </w:tcPr>
          <w:p w14:paraId="39CAFA64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2800" w:type="dxa"/>
          </w:tcPr>
          <w:p w14:paraId="3AF4A279" w14:textId="77777777" w:rsidR="00106258" w:rsidRDefault="00000000">
            <w:pPr>
              <w:pStyle w:val="TableParagraph"/>
              <w:spacing w:line="264" w:lineRule="auto"/>
              <w:ind w:right="550"/>
              <w:rPr>
                <w:sz w:val="19"/>
              </w:rPr>
            </w:pPr>
            <w:r>
              <w:rPr>
                <w:sz w:val="19"/>
              </w:rPr>
              <w:t>AI-Assisted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Interpretation </w:t>
            </w:r>
            <w:r>
              <w:rPr>
                <w:spacing w:val="-2"/>
                <w:sz w:val="19"/>
              </w:rPr>
              <w:t>Validation</w:t>
            </w:r>
          </w:p>
        </w:tc>
        <w:tc>
          <w:tcPr>
            <w:tcW w:w="6720" w:type="dxa"/>
          </w:tcPr>
          <w:p w14:paraId="5609D51F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Each major statement from the supplied interpretation with your Accept / Revise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Reject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decision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evidence-based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reason.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unsupported statement must be explicitly rejected or revised.</w:t>
            </w:r>
          </w:p>
        </w:tc>
      </w:tr>
      <w:tr w:rsidR="00106258" w14:paraId="4E8858B5" w14:textId="77777777">
        <w:trPr>
          <w:trHeight w:val="870"/>
        </w:trPr>
        <w:tc>
          <w:tcPr>
            <w:tcW w:w="440" w:type="dxa"/>
            <w:shd w:val="clear" w:color="auto" w:fill="E9F0F2"/>
          </w:tcPr>
          <w:p w14:paraId="451F4D08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2800" w:type="dxa"/>
            <w:shd w:val="clear" w:color="auto" w:fill="E9F0F2"/>
          </w:tcPr>
          <w:p w14:paraId="5CDAF6C2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Integrated Workforce </w:t>
            </w:r>
            <w:r>
              <w:rPr>
                <w:spacing w:val="-2"/>
                <w:sz w:val="19"/>
              </w:rPr>
              <w:t>Finding</w:t>
            </w:r>
          </w:p>
        </w:tc>
        <w:tc>
          <w:tcPr>
            <w:tcW w:w="6720" w:type="dxa"/>
            <w:shd w:val="clear" w:color="auto" w:fill="E9F0F2"/>
          </w:tcPr>
          <w:p w14:paraId="57395BEC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One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decision-relevant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pattern,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strongest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evidence,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what separates primary evidence from secondary pressure or context. Stay </w:t>
            </w:r>
            <w:r>
              <w:rPr>
                <w:spacing w:val="-2"/>
                <w:sz w:val="19"/>
              </w:rPr>
              <w:t>descriptive.</w:t>
            </w:r>
          </w:p>
        </w:tc>
      </w:tr>
      <w:tr w:rsidR="00106258" w14:paraId="39E6A902" w14:textId="77777777">
        <w:trPr>
          <w:trHeight w:val="630"/>
        </w:trPr>
        <w:tc>
          <w:tcPr>
            <w:tcW w:w="440" w:type="dxa"/>
          </w:tcPr>
          <w:p w14:paraId="5FBFE7C7" w14:textId="77777777" w:rsidR="00106258" w:rsidRDefault="00000000">
            <w:pPr>
              <w:pStyle w:val="TableParagraph"/>
              <w:ind w:left="1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2800" w:type="dxa"/>
          </w:tcPr>
          <w:p w14:paraId="602B96D5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Follow-Up Action </w:t>
            </w:r>
            <w:r>
              <w:rPr>
                <w:spacing w:val="-2"/>
                <w:sz w:val="19"/>
              </w:rPr>
              <w:t>Comparison</w:t>
            </w:r>
          </w:p>
        </w:tc>
        <w:tc>
          <w:tcPr>
            <w:tcW w:w="6720" w:type="dxa"/>
          </w:tcPr>
          <w:p w14:paraId="0346458B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At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least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two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feasible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actions,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each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assessed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evidence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 current level of certainty.</w:t>
            </w:r>
          </w:p>
        </w:tc>
      </w:tr>
      <w:tr w:rsidR="00106258" w14:paraId="69A86661" w14:textId="77777777">
        <w:trPr>
          <w:trHeight w:val="630"/>
        </w:trPr>
        <w:tc>
          <w:tcPr>
            <w:tcW w:w="440" w:type="dxa"/>
            <w:shd w:val="clear" w:color="auto" w:fill="E9F0F2"/>
          </w:tcPr>
          <w:p w14:paraId="60EE7E74" w14:textId="77777777" w:rsidR="00106258" w:rsidRDefault="00000000">
            <w:pPr>
              <w:pStyle w:val="TableParagraph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2800" w:type="dxa"/>
            <w:shd w:val="clear" w:color="auto" w:fill="E9F0F2"/>
          </w:tcPr>
          <w:p w14:paraId="387618FC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Recommended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Action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Owner</w:t>
            </w:r>
          </w:p>
        </w:tc>
        <w:tc>
          <w:tcPr>
            <w:tcW w:w="6720" w:type="dxa"/>
            <w:shd w:val="clear" w:color="auto" w:fill="E9F0F2"/>
          </w:tcPr>
          <w:p w14:paraId="25A94428" w14:textId="77777777" w:rsidR="00106258" w:rsidRDefault="00000000">
            <w:pPr>
              <w:pStyle w:val="TableParagraph"/>
              <w:spacing w:line="264" w:lineRule="auto"/>
              <w:ind w:right="534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you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recommend,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realistic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accountable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owner,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r>
              <w:rPr>
                <w:spacing w:val="-2"/>
                <w:sz w:val="19"/>
              </w:rPr>
              <w:t>timing.</w:t>
            </w:r>
          </w:p>
        </w:tc>
      </w:tr>
      <w:tr w:rsidR="00106258" w14:paraId="364458FE" w14:textId="77777777">
        <w:trPr>
          <w:trHeight w:val="630"/>
        </w:trPr>
        <w:tc>
          <w:tcPr>
            <w:tcW w:w="440" w:type="dxa"/>
          </w:tcPr>
          <w:p w14:paraId="7C6C8BC0" w14:textId="77777777" w:rsidR="00106258" w:rsidRDefault="00000000">
            <w:pPr>
              <w:pStyle w:val="TableParagraph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11</w:t>
            </w:r>
          </w:p>
        </w:tc>
        <w:tc>
          <w:tcPr>
            <w:tcW w:w="2800" w:type="dxa"/>
          </w:tcPr>
          <w:p w14:paraId="6B3A2FE5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Limitation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Next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Evidence </w:t>
            </w:r>
            <w:r>
              <w:rPr>
                <w:spacing w:val="-4"/>
                <w:sz w:val="19"/>
              </w:rPr>
              <w:t>Need</w:t>
            </w:r>
          </w:p>
        </w:tc>
        <w:tc>
          <w:tcPr>
            <w:tcW w:w="6720" w:type="dxa"/>
          </w:tcPr>
          <w:p w14:paraId="324C5ACE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One meaningful limitation, or the next evidence that would be </w:t>
            </w:r>
            <w:r>
              <w:rPr>
                <w:spacing w:val="-2"/>
                <w:sz w:val="19"/>
              </w:rPr>
              <w:t>required.</w:t>
            </w:r>
          </w:p>
        </w:tc>
      </w:tr>
      <w:tr w:rsidR="00106258" w14:paraId="3CF755B9" w14:textId="77777777">
        <w:trPr>
          <w:trHeight w:val="630"/>
        </w:trPr>
        <w:tc>
          <w:tcPr>
            <w:tcW w:w="440" w:type="dxa"/>
            <w:shd w:val="clear" w:color="auto" w:fill="E9F0F2"/>
          </w:tcPr>
          <w:p w14:paraId="7716DF0A" w14:textId="77777777" w:rsidR="00106258" w:rsidRDefault="00000000">
            <w:pPr>
              <w:pStyle w:val="TableParagraph"/>
              <w:ind w:left="1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12</w:t>
            </w:r>
          </w:p>
        </w:tc>
        <w:tc>
          <w:tcPr>
            <w:tcW w:w="2800" w:type="dxa"/>
            <w:shd w:val="clear" w:color="auto" w:fill="E9F0F2"/>
          </w:tcPr>
          <w:p w14:paraId="43776982" w14:textId="77777777" w:rsidR="00106258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Copilot-Use </w:t>
            </w:r>
            <w:r>
              <w:rPr>
                <w:spacing w:val="-2"/>
                <w:sz w:val="19"/>
              </w:rPr>
              <w:t>Record</w:t>
            </w:r>
          </w:p>
        </w:tc>
        <w:tc>
          <w:tcPr>
            <w:tcW w:w="6720" w:type="dxa"/>
            <w:shd w:val="clear" w:color="auto" w:fill="E9F0F2"/>
          </w:tcPr>
          <w:p w14:paraId="57178933" w14:textId="77777777" w:rsidR="00106258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every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Copilot-assisted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step: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exact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prompt,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output,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/ Revise / Reject decision, and your evidence-based reason.</w:t>
            </w:r>
          </w:p>
        </w:tc>
      </w:tr>
    </w:tbl>
    <w:p w14:paraId="77A07F22" w14:textId="77777777" w:rsidR="00106258" w:rsidRDefault="00000000">
      <w:pPr>
        <w:pStyle w:val="Heading2"/>
      </w:pPr>
      <w:r>
        <w:rPr>
          <w:color w:val="1F4D5E"/>
        </w:rPr>
        <w:t xml:space="preserve">Capture quality — apply to every </w:t>
      </w:r>
      <w:r>
        <w:rPr>
          <w:color w:val="1F4D5E"/>
          <w:spacing w:val="-2"/>
        </w:rPr>
        <w:t>section</w:t>
      </w:r>
    </w:p>
    <w:p w14:paraId="633A2EE4" w14:textId="77777777" w:rsidR="00106258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10" w:line="278" w:lineRule="auto"/>
        <w:ind w:right="197"/>
        <w:rPr>
          <w:sz w:val="21"/>
        </w:rPr>
      </w:pPr>
      <w:r>
        <w:rPr>
          <w:sz w:val="21"/>
        </w:rPr>
        <w:t>Capture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focused</w:t>
      </w:r>
      <w:r>
        <w:rPr>
          <w:spacing w:val="-4"/>
          <w:sz w:val="21"/>
        </w:rPr>
        <w:t xml:space="preserve"> </w:t>
      </w:r>
      <w:r>
        <w:rPr>
          <w:sz w:val="21"/>
        </w:rPr>
        <w:t>view.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4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shrink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whole</w:t>
      </w:r>
      <w:r>
        <w:rPr>
          <w:spacing w:val="-4"/>
          <w:sz w:val="21"/>
        </w:rPr>
        <w:t xml:space="preserve"> </w:t>
      </w:r>
      <w:r>
        <w:rPr>
          <w:sz w:val="21"/>
        </w:rPr>
        <w:t>worksheet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report</w:t>
      </w:r>
      <w:r>
        <w:rPr>
          <w:spacing w:val="-4"/>
          <w:sz w:val="21"/>
        </w:rPr>
        <w:t xml:space="preserve"> </w:t>
      </w:r>
      <w:r>
        <w:rPr>
          <w:sz w:val="21"/>
        </w:rPr>
        <w:t>page</w:t>
      </w:r>
      <w:r>
        <w:rPr>
          <w:spacing w:val="-4"/>
          <w:sz w:val="21"/>
        </w:rPr>
        <w:t xml:space="preserve"> </w:t>
      </w:r>
      <w:r>
        <w:rPr>
          <w:sz w:val="21"/>
        </w:rPr>
        <w:t>until</w:t>
      </w:r>
      <w:r>
        <w:rPr>
          <w:spacing w:val="-4"/>
          <w:sz w:val="21"/>
        </w:rPr>
        <w:t xml:space="preserve"> </w:t>
      </w:r>
      <w:r>
        <w:rPr>
          <w:sz w:val="21"/>
        </w:rPr>
        <w:t>values,</w:t>
      </w:r>
      <w:r>
        <w:rPr>
          <w:spacing w:val="-4"/>
          <w:sz w:val="21"/>
        </w:rPr>
        <w:t xml:space="preserve"> </w:t>
      </w:r>
      <w:r>
        <w:rPr>
          <w:sz w:val="21"/>
        </w:rPr>
        <w:t>filters,</w:t>
      </w:r>
      <w:r>
        <w:rPr>
          <w:spacing w:val="-4"/>
          <w:sz w:val="21"/>
        </w:rPr>
        <w:t xml:space="preserve"> </w:t>
      </w:r>
      <w:r>
        <w:rPr>
          <w:sz w:val="21"/>
        </w:rPr>
        <w:t>labels,</w:t>
      </w:r>
      <w:r>
        <w:rPr>
          <w:spacing w:val="-4"/>
          <w:sz w:val="21"/>
        </w:rPr>
        <w:t xml:space="preserve"> </w:t>
      </w:r>
      <w:r>
        <w:rPr>
          <w:sz w:val="21"/>
        </w:rPr>
        <w:t>or comparison context become unreadable.</w:t>
      </w:r>
    </w:p>
    <w:p w14:paraId="4A25BE43" w14:textId="77777777" w:rsidR="00106258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78" w:lineRule="auto"/>
        <w:ind w:right="247"/>
        <w:rPr>
          <w:sz w:val="21"/>
        </w:rPr>
      </w:pPr>
      <w:r>
        <w:rPr>
          <w:sz w:val="21"/>
        </w:rPr>
        <w:t>Keep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population,</w:t>
      </w:r>
      <w:r>
        <w:rPr>
          <w:spacing w:val="-3"/>
          <w:sz w:val="21"/>
        </w:rPr>
        <w:t xml:space="preserve"> </w:t>
      </w:r>
      <w:r>
        <w:rPr>
          <w:sz w:val="21"/>
        </w:rPr>
        <w:t>reporting</w:t>
      </w:r>
      <w:r>
        <w:rPr>
          <w:spacing w:val="-3"/>
          <w:sz w:val="21"/>
        </w:rPr>
        <w:t xml:space="preserve"> </w:t>
      </w:r>
      <w:r>
        <w:rPr>
          <w:sz w:val="21"/>
        </w:rPr>
        <w:t>period,</w:t>
      </w:r>
      <w:r>
        <w:rPr>
          <w:spacing w:val="-3"/>
          <w:sz w:val="21"/>
        </w:rPr>
        <w:t xml:space="preserve"> </w:t>
      </w:r>
      <w:r>
        <w:rPr>
          <w:sz w:val="21"/>
        </w:rPr>
        <w:t>filter,</w:t>
      </w:r>
      <w:r>
        <w:rPr>
          <w:spacing w:val="-3"/>
          <w:sz w:val="21"/>
        </w:rPr>
        <w:t xml:space="preserve"> </w:t>
      </w:r>
      <w:r>
        <w:rPr>
          <w:sz w:val="21"/>
        </w:rPr>
        <w:t>segment,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comparable</w:t>
      </w:r>
      <w:r>
        <w:rPr>
          <w:spacing w:val="-3"/>
          <w:sz w:val="21"/>
        </w:rPr>
        <w:t xml:space="preserve"> </w:t>
      </w:r>
      <w:r>
        <w:rPr>
          <w:sz w:val="21"/>
        </w:rPr>
        <w:t>group</w:t>
      </w:r>
      <w:r>
        <w:rPr>
          <w:spacing w:val="-3"/>
          <w:sz w:val="21"/>
        </w:rPr>
        <w:t xml:space="preserve"> </w:t>
      </w:r>
      <w:r>
        <w:rPr>
          <w:sz w:val="21"/>
        </w:rPr>
        <w:t>visible</w:t>
      </w:r>
      <w:r>
        <w:rPr>
          <w:spacing w:val="-3"/>
          <w:sz w:val="21"/>
        </w:rPr>
        <w:t xml:space="preserve"> </w:t>
      </w:r>
      <w:r>
        <w:rPr>
          <w:sz w:val="21"/>
        </w:rPr>
        <w:t>wherever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affects </w:t>
      </w:r>
      <w:r>
        <w:rPr>
          <w:spacing w:val="-2"/>
          <w:sz w:val="21"/>
        </w:rPr>
        <w:t>interpretation.</w:t>
      </w:r>
    </w:p>
    <w:p w14:paraId="2500FD96" w14:textId="77777777" w:rsidR="00106258" w:rsidRDefault="00106258">
      <w:pPr>
        <w:pStyle w:val="ListParagraph"/>
        <w:spacing w:line="278" w:lineRule="auto"/>
        <w:rPr>
          <w:sz w:val="21"/>
        </w:rPr>
        <w:sectPr w:rsidR="00106258">
          <w:type w:val="continuous"/>
          <w:pgSz w:w="12240" w:h="15840"/>
          <w:pgMar w:top="1240" w:right="1080" w:bottom="280" w:left="1080" w:header="720" w:footer="720" w:gutter="0"/>
          <w:cols w:space="720"/>
        </w:sectPr>
      </w:pPr>
    </w:p>
    <w:p w14:paraId="320D36E3" w14:textId="77777777" w:rsidR="0010625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73"/>
        <w:ind w:left="479" w:hanging="219"/>
        <w:rPr>
          <w:sz w:val="21"/>
        </w:rPr>
      </w:pPr>
      <w:r>
        <w:rPr>
          <w:sz w:val="21"/>
        </w:rPr>
        <w:lastRenderedPageBreak/>
        <w:t xml:space="preserve">Make each item traceable to its source or to the approved </w:t>
      </w:r>
      <w:r>
        <w:rPr>
          <w:spacing w:val="-2"/>
          <w:sz w:val="21"/>
        </w:rPr>
        <w:t>definition.</w:t>
      </w:r>
    </w:p>
    <w:p w14:paraId="3FFF82AC" w14:textId="77777777" w:rsidR="00106258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98" w:line="278" w:lineRule="auto"/>
        <w:ind w:right="586"/>
        <w:rPr>
          <w:sz w:val="21"/>
        </w:rPr>
      </w:pP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annotation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explain</w:t>
      </w:r>
      <w:r>
        <w:rPr>
          <w:spacing w:val="-3"/>
          <w:sz w:val="21"/>
        </w:rPr>
        <w:t xml:space="preserve"> </w:t>
      </w:r>
      <w:r>
        <w:rPr>
          <w:sz w:val="21"/>
        </w:rPr>
        <w:t>why</w:t>
      </w:r>
      <w:r>
        <w:rPr>
          <w:spacing w:val="-3"/>
          <w:sz w:val="21"/>
        </w:rPr>
        <w:t xml:space="preserve"> </w:t>
      </w:r>
      <w:r>
        <w:rPr>
          <w:sz w:val="21"/>
        </w:rPr>
        <w:t>evidence</w:t>
      </w:r>
      <w:r>
        <w:rPr>
          <w:spacing w:val="-3"/>
          <w:sz w:val="21"/>
        </w:rPr>
        <w:t xml:space="preserve"> </w:t>
      </w:r>
      <w:r>
        <w:rPr>
          <w:sz w:val="21"/>
        </w:rPr>
        <w:t>matters.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replace</w:t>
      </w:r>
      <w:r>
        <w:rPr>
          <w:spacing w:val="-3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needs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be visible in the evidence itself.</w:t>
      </w:r>
    </w:p>
    <w:p w14:paraId="4844E304" w14:textId="77777777" w:rsidR="00106258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78" w:lineRule="auto"/>
        <w:ind w:right="412"/>
        <w:rPr>
          <w:sz w:val="21"/>
        </w:rPr>
      </w:pPr>
      <w:r>
        <w:rPr>
          <w:sz w:val="21"/>
        </w:rPr>
        <w:t>Attach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reference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completed</w:t>
      </w:r>
      <w:r>
        <w:rPr>
          <w:spacing w:val="-3"/>
          <w:sz w:val="21"/>
        </w:rPr>
        <w:t xml:space="preserve"> </w:t>
      </w:r>
      <w:r>
        <w:rPr>
          <w:sz w:val="21"/>
        </w:rPr>
        <w:t>CSV</w:t>
      </w:r>
      <w:r>
        <w:rPr>
          <w:spacing w:val="-3"/>
          <w:sz w:val="21"/>
        </w:rPr>
        <w:t xml:space="preserve"> </w:t>
      </w:r>
      <w:r>
        <w:rPr>
          <w:sz w:val="21"/>
        </w:rPr>
        <w:t>summary;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submitted</w:t>
      </w:r>
      <w:r>
        <w:rPr>
          <w:spacing w:val="-3"/>
          <w:sz w:val="21"/>
        </w:rPr>
        <w:t xml:space="preserve"> </w:t>
      </w:r>
      <w:r>
        <w:rPr>
          <w:sz w:val="21"/>
        </w:rPr>
        <w:t>separately,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grader</w:t>
      </w:r>
      <w:r>
        <w:rPr>
          <w:spacing w:val="-3"/>
          <w:sz w:val="21"/>
        </w:rPr>
        <w:t xml:space="preserve"> </w:t>
      </w:r>
      <w:r>
        <w:rPr>
          <w:sz w:val="21"/>
        </w:rPr>
        <w:t>will</w:t>
      </w:r>
      <w:r>
        <w:rPr>
          <w:spacing w:val="-3"/>
          <w:sz w:val="21"/>
        </w:rPr>
        <w:t xml:space="preserve"> </w:t>
      </w:r>
      <w:r>
        <w:rPr>
          <w:sz w:val="21"/>
        </w:rPr>
        <w:t>not use your PDF to supply a missing CSV value.</w:t>
      </w:r>
    </w:p>
    <w:p w14:paraId="15C5E4D3" w14:textId="77777777" w:rsidR="00106258" w:rsidRDefault="00106258">
      <w:pPr>
        <w:pStyle w:val="BodyText"/>
        <w:spacing w:before="17"/>
        <w:ind w:left="0" w:firstLine="0"/>
      </w:pPr>
    </w:p>
    <w:p w14:paraId="63E83A5B" w14:textId="77777777" w:rsidR="00106258" w:rsidRDefault="00000000">
      <w:pPr>
        <w:ind w:left="200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 xml:space="preserve">All data is fully synthetic (Northwind Health Group). No real people. Safe for screenshots and AI </w:t>
      </w:r>
      <w:r>
        <w:rPr>
          <w:rFonts w:ascii="Arial"/>
          <w:i/>
          <w:color w:val="545454"/>
          <w:spacing w:val="-2"/>
          <w:sz w:val="19"/>
        </w:rPr>
        <w:t>tools.</w:t>
      </w:r>
    </w:p>
    <w:sectPr w:rsidR="00106258">
      <w:pgSz w:w="12240" w:h="15840"/>
      <w:pgMar w:top="12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11B30"/>
    <w:multiLevelType w:val="hybridMultilevel"/>
    <w:tmpl w:val="4AA63E72"/>
    <w:lvl w:ilvl="0" w:tplc="196EFC88">
      <w:numFmt w:val="bullet"/>
      <w:lvlText w:val="•"/>
      <w:lvlJc w:val="left"/>
      <w:pPr>
        <w:ind w:left="48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6E94FC">
      <w:numFmt w:val="bullet"/>
      <w:lvlText w:val="•"/>
      <w:lvlJc w:val="left"/>
      <w:pPr>
        <w:ind w:left="1440" w:hanging="220"/>
      </w:pPr>
      <w:rPr>
        <w:rFonts w:hint="default"/>
        <w:lang w:val="en-US" w:eastAsia="en-US" w:bidi="ar-SA"/>
      </w:rPr>
    </w:lvl>
    <w:lvl w:ilvl="2" w:tplc="36A019B4">
      <w:numFmt w:val="bullet"/>
      <w:lvlText w:val="•"/>
      <w:lvlJc w:val="left"/>
      <w:pPr>
        <w:ind w:left="2400" w:hanging="220"/>
      </w:pPr>
      <w:rPr>
        <w:rFonts w:hint="default"/>
        <w:lang w:val="en-US" w:eastAsia="en-US" w:bidi="ar-SA"/>
      </w:rPr>
    </w:lvl>
    <w:lvl w:ilvl="3" w:tplc="91644290">
      <w:numFmt w:val="bullet"/>
      <w:lvlText w:val="•"/>
      <w:lvlJc w:val="left"/>
      <w:pPr>
        <w:ind w:left="3360" w:hanging="220"/>
      </w:pPr>
      <w:rPr>
        <w:rFonts w:hint="default"/>
        <w:lang w:val="en-US" w:eastAsia="en-US" w:bidi="ar-SA"/>
      </w:rPr>
    </w:lvl>
    <w:lvl w:ilvl="4" w:tplc="DA58E216">
      <w:numFmt w:val="bullet"/>
      <w:lvlText w:val="•"/>
      <w:lvlJc w:val="left"/>
      <w:pPr>
        <w:ind w:left="4320" w:hanging="220"/>
      </w:pPr>
      <w:rPr>
        <w:rFonts w:hint="default"/>
        <w:lang w:val="en-US" w:eastAsia="en-US" w:bidi="ar-SA"/>
      </w:rPr>
    </w:lvl>
    <w:lvl w:ilvl="5" w:tplc="1ED061F8">
      <w:numFmt w:val="bullet"/>
      <w:lvlText w:val="•"/>
      <w:lvlJc w:val="left"/>
      <w:pPr>
        <w:ind w:left="5280" w:hanging="220"/>
      </w:pPr>
      <w:rPr>
        <w:rFonts w:hint="default"/>
        <w:lang w:val="en-US" w:eastAsia="en-US" w:bidi="ar-SA"/>
      </w:rPr>
    </w:lvl>
    <w:lvl w:ilvl="6" w:tplc="E398DC1A">
      <w:numFmt w:val="bullet"/>
      <w:lvlText w:val="•"/>
      <w:lvlJc w:val="left"/>
      <w:pPr>
        <w:ind w:left="6240" w:hanging="220"/>
      </w:pPr>
      <w:rPr>
        <w:rFonts w:hint="default"/>
        <w:lang w:val="en-US" w:eastAsia="en-US" w:bidi="ar-SA"/>
      </w:rPr>
    </w:lvl>
    <w:lvl w:ilvl="7" w:tplc="8AAEBB34">
      <w:numFmt w:val="bullet"/>
      <w:lvlText w:val="•"/>
      <w:lvlJc w:val="left"/>
      <w:pPr>
        <w:ind w:left="7200" w:hanging="220"/>
      </w:pPr>
      <w:rPr>
        <w:rFonts w:hint="default"/>
        <w:lang w:val="en-US" w:eastAsia="en-US" w:bidi="ar-SA"/>
      </w:rPr>
    </w:lvl>
    <w:lvl w:ilvl="8" w:tplc="3B86D75C">
      <w:numFmt w:val="bullet"/>
      <w:lvlText w:val="•"/>
      <w:lvlJc w:val="left"/>
      <w:pPr>
        <w:ind w:left="8160" w:hanging="220"/>
      </w:pPr>
      <w:rPr>
        <w:rFonts w:hint="default"/>
        <w:lang w:val="en-US" w:eastAsia="en-US" w:bidi="ar-SA"/>
      </w:rPr>
    </w:lvl>
  </w:abstractNum>
  <w:num w:numId="1" w16cid:durableId="140676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6258"/>
    <w:rsid w:val="00106258"/>
    <w:rsid w:val="003C04E3"/>
    <w:rsid w:val="00B9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F55B"/>
  <w15:docId w15:val="{DAE00390-9570-49D4-9E01-D89CB4C2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2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10"/>
      <w:ind w:left="200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480" w:hanging="22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0"/>
      <w:ind w:left="480" w:hanging="22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- Evidence Capture Guide</dc:title>
  <dc:subject>(unspecified)</dc:subject>
  <dc:creator>(anonymous)</dc:creator>
  <cp:lastModifiedBy>Hemang Inamdar</cp:lastModifiedBy>
  <cp:revision>2</cp:revision>
  <dcterms:created xsi:type="dcterms:W3CDTF">2026-09-29T13:01:00Z</dcterms:created>
  <dcterms:modified xsi:type="dcterms:W3CDTF">2026-09-29T13:06:00Z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(opensource)</vt:lpwstr>
  </property>
</Properties>
</file>