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A78B" w14:textId="6DF3AF28" w:rsidR="00816AE9" w:rsidRDefault="00000000">
      <w:pPr>
        <w:pStyle w:val="Heading1"/>
        <w:spacing w:line="256" w:lineRule="auto"/>
      </w:pPr>
      <w:r>
        <w:rPr>
          <w:color w:val="1F4D5E"/>
        </w:rPr>
        <w:t>Workforce</w:t>
      </w:r>
      <w:r>
        <w:rPr>
          <w:color w:val="1F4D5E"/>
          <w:spacing w:val="-7"/>
        </w:rPr>
        <w:t xml:space="preserve"> </w:t>
      </w:r>
      <w:r>
        <w:rPr>
          <w:color w:val="1F4D5E"/>
        </w:rPr>
        <w:t>Analytics</w:t>
      </w:r>
      <w:r>
        <w:rPr>
          <w:color w:val="1F4D5E"/>
          <w:spacing w:val="-7"/>
        </w:rPr>
        <w:t xml:space="preserve"> </w:t>
      </w:r>
      <w:r>
        <w:rPr>
          <w:color w:val="1F4D5E"/>
        </w:rPr>
        <w:t>Deep</w:t>
      </w:r>
      <w:r>
        <w:rPr>
          <w:color w:val="1F4D5E"/>
          <w:spacing w:val="-7"/>
        </w:rPr>
        <w:t xml:space="preserve"> </w:t>
      </w:r>
      <w:r>
        <w:rPr>
          <w:color w:val="1F4D5E"/>
        </w:rPr>
        <w:t>Dive</w:t>
      </w:r>
      <w:r>
        <w:rPr>
          <w:color w:val="1F4D5E"/>
          <w:spacing w:val="-7"/>
        </w:rPr>
        <w:t xml:space="preserve"> </w:t>
      </w:r>
      <w:r>
        <w:rPr>
          <w:color w:val="1F4D5E"/>
        </w:rPr>
        <w:t>Example (Harborline Shared Services)</w:t>
      </w:r>
    </w:p>
    <w:p w14:paraId="23C46B78" w14:textId="77777777" w:rsidR="00816AE9" w:rsidRDefault="00000000">
      <w:pPr>
        <w:spacing w:before="74" w:line="271" w:lineRule="auto"/>
        <w:ind w:left="200" w:right="190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REFERENCE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—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parallel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organization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and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reporting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period.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Do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NOT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copy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the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wording,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the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pattern,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or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the recommendation. Same structure, different scenario from your graded customer-operations project.</w:t>
      </w:r>
    </w:p>
    <w:p w14:paraId="415BAAB1" w14:textId="77777777" w:rsidR="00816AE9" w:rsidRDefault="00000000">
      <w:pPr>
        <w:pStyle w:val="Heading2"/>
        <w:numPr>
          <w:ilvl w:val="0"/>
          <w:numId w:val="1"/>
        </w:numPr>
        <w:tabs>
          <w:tab w:val="left" w:pos="477"/>
        </w:tabs>
        <w:spacing w:before="204"/>
        <w:ind w:hanging="277"/>
      </w:pPr>
      <w:r>
        <w:rPr>
          <w:color w:val="1F4D5E"/>
        </w:rPr>
        <w:t xml:space="preserve">Confirm the question and the </w:t>
      </w:r>
      <w:r>
        <w:rPr>
          <w:color w:val="1F4D5E"/>
          <w:spacing w:val="-2"/>
        </w:rPr>
        <w:t>definitions</w:t>
      </w:r>
    </w:p>
    <w:p w14:paraId="74B028CE" w14:textId="77777777" w:rsidR="00816AE9" w:rsidRDefault="00000000">
      <w:pPr>
        <w:pStyle w:val="BodyText"/>
        <w:spacing w:before="110" w:line="278" w:lineRule="auto"/>
        <w:ind w:right="190"/>
      </w:pPr>
      <w:r>
        <w:t>Harborline leadership wants to understand whether staffing pressure is more closely associated with recruiting</w:t>
      </w:r>
      <w:r>
        <w:rPr>
          <w:spacing w:val="-3"/>
        </w:rPr>
        <w:t xml:space="preserve"> </w:t>
      </w:r>
      <w:r>
        <w:t>throughput,</w:t>
      </w:r>
      <w:r>
        <w:rPr>
          <w:spacing w:val="-3"/>
        </w:rPr>
        <w:t xml:space="preserve"> </w:t>
      </w:r>
      <w:r>
        <w:t>attrition,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compensation</w:t>
      </w:r>
      <w:r>
        <w:rPr>
          <w:spacing w:val="-3"/>
        </w:rPr>
        <w:t xml:space="preserve"> </w:t>
      </w:r>
      <w:r>
        <w:t>context.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period:</w:t>
      </w:r>
      <w:r>
        <w:rPr>
          <w:spacing w:val="-3"/>
        </w:rPr>
        <w:t xml:space="preserve"> </w:t>
      </w:r>
      <w:r>
        <w:t>Q2</w:t>
      </w:r>
      <w:r>
        <w:rPr>
          <w:spacing w:val="-3"/>
        </w:rPr>
        <w:t xml:space="preserve"> </w:t>
      </w:r>
      <w:r>
        <w:t>2026.</w:t>
      </w:r>
      <w:r>
        <w:rPr>
          <w:spacing w:val="-3"/>
        </w:rPr>
        <w:t xml:space="preserve"> </w:t>
      </w:r>
      <w:r>
        <w:t xml:space="preserve">Business-context measure: backlog cases per FTE. The analyst confirms the governing definitions before interpreting anything — population, period, calculation rule, and comparison context. Use </w:t>
      </w:r>
      <w:r>
        <w:rPr>
          <w:rFonts w:ascii="Arial" w:hAnsi="Arial"/>
          <w:b/>
        </w:rPr>
        <w:t>Project_metric_definition_pack.pdf</w:t>
      </w:r>
      <w:r>
        <w:rPr>
          <w:rFonts w:ascii="Arial" w:hAnsi="Arial"/>
          <w:b/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truth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project;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below are Harborline's.</w:t>
      </w:r>
    </w:p>
    <w:p w14:paraId="251A653E" w14:textId="77777777" w:rsidR="00816AE9" w:rsidRDefault="00000000">
      <w:pPr>
        <w:pStyle w:val="Heading2"/>
        <w:numPr>
          <w:ilvl w:val="0"/>
          <w:numId w:val="1"/>
        </w:numPr>
        <w:tabs>
          <w:tab w:val="left" w:pos="477"/>
        </w:tabs>
        <w:spacing w:before="202"/>
        <w:ind w:hanging="277"/>
      </w:pPr>
      <w:r>
        <w:rPr>
          <w:color w:val="1F4D5E"/>
        </w:rPr>
        <w:t xml:space="preserve">Compare the evidence across </w:t>
      </w:r>
      <w:r>
        <w:rPr>
          <w:color w:val="1F4D5E"/>
          <w:spacing w:val="-2"/>
        </w:rPr>
        <w:t>domains</w:t>
      </w:r>
    </w:p>
    <w:p w14:paraId="00AABF7D" w14:textId="77777777" w:rsidR="00816AE9" w:rsidRDefault="00816AE9">
      <w:pPr>
        <w:pStyle w:val="BodyText"/>
        <w:spacing w:before="11"/>
        <w:ind w:left="0"/>
        <w:rPr>
          <w:rFonts w:ascii="Arial"/>
          <w:b/>
          <w:sz w:val="7"/>
        </w:rPr>
      </w:pPr>
    </w:p>
    <w:tbl>
      <w:tblPr>
        <w:tblW w:w="0" w:type="auto"/>
        <w:tblInd w:w="10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1440"/>
        <w:gridCol w:w="1440"/>
        <w:gridCol w:w="1440"/>
        <w:gridCol w:w="1440"/>
        <w:gridCol w:w="1480"/>
      </w:tblGrid>
      <w:tr w:rsidR="00816AE9" w14:paraId="4ED79530" w14:textId="77777777">
        <w:trPr>
          <w:trHeight w:val="610"/>
        </w:trPr>
        <w:tc>
          <w:tcPr>
            <w:tcW w:w="2640" w:type="dxa"/>
            <w:shd w:val="clear" w:color="auto" w:fill="1F4D5E"/>
          </w:tcPr>
          <w:p w14:paraId="3180C839" w14:textId="77777777" w:rsidR="00816AE9" w:rsidRDefault="00000000"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Measure</w:t>
            </w:r>
          </w:p>
        </w:tc>
        <w:tc>
          <w:tcPr>
            <w:tcW w:w="1440" w:type="dxa"/>
            <w:shd w:val="clear" w:color="auto" w:fill="1F4D5E"/>
          </w:tcPr>
          <w:p w14:paraId="348DF3D2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East</w:t>
            </w:r>
          </w:p>
          <w:p w14:paraId="44CF9EB6" w14:textId="77777777" w:rsidR="00816AE9" w:rsidRDefault="00000000">
            <w:pPr>
              <w:pStyle w:val="TableParagraph"/>
              <w:spacing w:before="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Service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Desk</w:t>
            </w:r>
          </w:p>
        </w:tc>
        <w:tc>
          <w:tcPr>
            <w:tcW w:w="1440" w:type="dxa"/>
            <w:shd w:val="clear" w:color="auto" w:fill="1F4D5E"/>
          </w:tcPr>
          <w:p w14:paraId="6C087F06" w14:textId="77777777" w:rsidR="00816AE9" w:rsidRDefault="00000000">
            <w:pPr>
              <w:pStyle w:val="TableParagraph"/>
              <w:spacing w:line="266" w:lineRule="auto"/>
              <w:ind w:righ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Harbor </w:t>
            </w:r>
            <w:r>
              <w:rPr>
                <w:rFonts w:ascii="Arial"/>
                <w:b/>
                <w:color w:val="FFFFFF"/>
                <w:sz w:val="18"/>
              </w:rPr>
              <w:t>Service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Desk</w:t>
            </w:r>
          </w:p>
        </w:tc>
        <w:tc>
          <w:tcPr>
            <w:tcW w:w="1440" w:type="dxa"/>
            <w:shd w:val="clear" w:color="auto" w:fill="1F4D5E"/>
          </w:tcPr>
          <w:p w14:paraId="1CFDF5AE" w14:textId="77777777" w:rsidR="00816AE9" w:rsidRDefault="00000000">
            <w:pPr>
              <w:pStyle w:val="TableParagraph"/>
              <w:spacing w:line="266" w:lineRule="auto"/>
              <w:ind w:righ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Lakeside </w:t>
            </w:r>
            <w:r>
              <w:rPr>
                <w:rFonts w:ascii="Arial"/>
                <w:b/>
                <w:color w:val="FFFFFF"/>
                <w:sz w:val="18"/>
              </w:rPr>
              <w:t>Service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Desk</w:t>
            </w:r>
          </w:p>
        </w:tc>
        <w:tc>
          <w:tcPr>
            <w:tcW w:w="1440" w:type="dxa"/>
            <w:shd w:val="clear" w:color="auto" w:fill="1F4D5E"/>
          </w:tcPr>
          <w:p w14:paraId="55C6C849" w14:textId="77777777" w:rsidR="00816AE9" w:rsidRDefault="00000000">
            <w:pPr>
              <w:pStyle w:val="TableParagraph"/>
              <w:spacing w:line="266" w:lineRule="auto"/>
              <w:ind w:righ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Riverside </w:t>
            </w:r>
            <w:r>
              <w:rPr>
                <w:rFonts w:ascii="Arial"/>
                <w:b/>
                <w:color w:val="FFFFFF"/>
                <w:sz w:val="18"/>
              </w:rPr>
              <w:t>Service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Desk</w:t>
            </w:r>
          </w:p>
        </w:tc>
        <w:tc>
          <w:tcPr>
            <w:tcW w:w="1480" w:type="dxa"/>
            <w:shd w:val="clear" w:color="auto" w:fill="1F4D5E"/>
          </w:tcPr>
          <w:p w14:paraId="45FE7B93" w14:textId="77777777" w:rsidR="00816AE9" w:rsidRDefault="00000000">
            <w:pPr>
              <w:pStyle w:val="TableParagraph"/>
              <w:spacing w:line="266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Harborline overall</w:t>
            </w:r>
          </w:p>
        </w:tc>
      </w:tr>
      <w:tr w:rsidR="00816AE9" w14:paraId="2C73234F" w14:textId="77777777">
        <w:trPr>
          <w:trHeight w:val="380"/>
        </w:trPr>
        <w:tc>
          <w:tcPr>
            <w:tcW w:w="2640" w:type="dxa"/>
          </w:tcPr>
          <w:p w14:paraId="3F8323A9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Q2 End </w:t>
            </w:r>
            <w:r>
              <w:rPr>
                <w:rFonts w:ascii="Arial"/>
                <w:b/>
                <w:spacing w:val="-2"/>
                <w:sz w:val="18"/>
              </w:rPr>
              <w:t>Headcount</w:t>
            </w:r>
          </w:p>
        </w:tc>
        <w:tc>
          <w:tcPr>
            <w:tcW w:w="1440" w:type="dxa"/>
          </w:tcPr>
          <w:p w14:paraId="24FBE057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185</w:t>
            </w:r>
          </w:p>
        </w:tc>
        <w:tc>
          <w:tcPr>
            <w:tcW w:w="1440" w:type="dxa"/>
          </w:tcPr>
          <w:p w14:paraId="6DDA2A31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213</w:t>
            </w:r>
          </w:p>
        </w:tc>
        <w:tc>
          <w:tcPr>
            <w:tcW w:w="1440" w:type="dxa"/>
          </w:tcPr>
          <w:p w14:paraId="659189AB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171</w:t>
            </w:r>
          </w:p>
        </w:tc>
        <w:tc>
          <w:tcPr>
            <w:tcW w:w="1440" w:type="dxa"/>
          </w:tcPr>
          <w:p w14:paraId="1B5B464E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141</w:t>
            </w:r>
          </w:p>
        </w:tc>
        <w:tc>
          <w:tcPr>
            <w:tcW w:w="1480" w:type="dxa"/>
          </w:tcPr>
          <w:p w14:paraId="17A4E85E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710</w:t>
            </w:r>
          </w:p>
        </w:tc>
      </w:tr>
      <w:tr w:rsidR="00816AE9" w14:paraId="24446963" w14:textId="77777777">
        <w:trPr>
          <w:trHeight w:val="380"/>
        </w:trPr>
        <w:tc>
          <w:tcPr>
            <w:tcW w:w="2640" w:type="dxa"/>
            <w:shd w:val="clear" w:color="auto" w:fill="E9F0F2"/>
          </w:tcPr>
          <w:p w14:paraId="581E5A46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Headcount </w:t>
            </w:r>
            <w:r>
              <w:rPr>
                <w:rFonts w:ascii="Arial"/>
                <w:b/>
                <w:spacing w:val="-2"/>
                <w:sz w:val="18"/>
              </w:rPr>
              <w:t>Change</w:t>
            </w:r>
          </w:p>
        </w:tc>
        <w:tc>
          <w:tcPr>
            <w:tcW w:w="1440" w:type="dxa"/>
            <w:shd w:val="clear" w:color="auto" w:fill="E9F0F2"/>
          </w:tcPr>
          <w:p w14:paraId="1F7A21B3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0" w:type="dxa"/>
            <w:shd w:val="clear" w:color="auto" w:fill="E9F0F2"/>
          </w:tcPr>
          <w:p w14:paraId="2B6B8394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+3</w:t>
            </w:r>
          </w:p>
        </w:tc>
        <w:tc>
          <w:tcPr>
            <w:tcW w:w="1440" w:type="dxa"/>
            <w:shd w:val="clear" w:color="auto" w:fill="E9F0F2"/>
          </w:tcPr>
          <w:p w14:paraId="56A39D68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+1</w:t>
            </w:r>
          </w:p>
        </w:tc>
        <w:tc>
          <w:tcPr>
            <w:tcW w:w="1440" w:type="dxa"/>
            <w:shd w:val="clear" w:color="auto" w:fill="E9F0F2"/>
          </w:tcPr>
          <w:p w14:paraId="5DDA740C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+1</w:t>
            </w:r>
          </w:p>
        </w:tc>
        <w:tc>
          <w:tcPr>
            <w:tcW w:w="1480" w:type="dxa"/>
            <w:shd w:val="clear" w:color="auto" w:fill="E9F0F2"/>
          </w:tcPr>
          <w:p w14:paraId="20A2E553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+5</w:t>
            </w:r>
          </w:p>
        </w:tc>
      </w:tr>
      <w:tr w:rsidR="00816AE9" w14:paraId="4860980D" w14:textId="77777777">
        <w:trPr>
          <w:trHeight w:val="380"/>
        </w:trPr>
        <w:tc>
          <w:tcPr>
            <w:tcW w:w="2640" w:type="dxa"/>
          </w:tcPr>
          <w:p w14:paraId="6F8BB256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Screened-to-Interview </w:t>
            </w:r>
            <w:r>
              <w:rPr>
                <w:rFonts w:ascii="Arial"/>
                <w:b/>
                <w:spacing w:val="-10"/>
                <w:sz w:val="18"/>
              </w:rPr>
              <w:t>%</w:t>
            </w:r>
          </w:p>
        </w:tc>
        <w:tc>
          <w:tcPr>
            <w:tcW w:w="1440" w:type="dxa"/>
          </w:tcPr>
          <w:p w14:paraId="5D456FFF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35.0%</w:t>
            </w:r>
          </w:p>
        </w:tc>
        <w:tc>
          <w:tcPr>
            <w:tcW w:w="1440" w:type="dxa"/>
          </w:tcPr>
          <w:p w14:paraId="4BE6730F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62.5%</w:t>
            </w:r>
          </w:p>
        </w:tc>
        <w:tc>
          <w:tcPr>
            <w:tcW w:w="1440" w:type="dxa"/>
          </w:tcPr>
          <w:p w14:paraId="62D8F617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62.0%</w:t>
            </w:r>
          </w:p>
        </w:tc>
        <w:tc>
          <w:tcPr>
            <w:tcW w:w="1440" w:type="dxa"/>
          </w:tcPr>
          <w:p w14:paraId="3865C2EC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62.9%</w:t>
            </w:r>
          </w:p>
        </w:tc>
        <w:tc>
          <w:tcPr>
            <w:tcW w:w="1480" w:type="dxa"/>
          </w:tcPr>
          <w:p w14:paraId="32F3A729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54.0%</w:t>
            </w:r>
          </w:p>
        </w:tc>
      </w:tr>
      <w:tr w:rsidR="00816AE9" w14:paraId="54121DDD" w14:textId="77777777">
        <w:trPr>
          <w:trHeight w:val="380"/>
        </w:trPr>
        <w:tc>
          <w:tcPr>
            <w:tcW w:w="2640" w:type="dxa"/>
            <w:shd w:val="clear" w:color="auto" w:fill="E9F0F2"/>
          </w:tcPr>
          <w:p w14:paraId="3CB6017D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Avg Time-to-Fill </w:t>
            </w:r>
            <w:r>
              <w:rPr>
                <w:rFonts w:ascii="Arial"/>
                <w:b/>
                <w:spacing w:val="-2"/>
                <w:sz w:val="18"/>
              </w:rPr>
              <w:t>(days)</w:t>
            </w:r>
          </w:p>
        </w:tc>
        <w:tc>
          <w:tcPr>
            <w:tcW w:w="1440" w:type="dxa"/>
            <w:shd w:val="clear" w:color="auto" w:fill="E9F0F2"/>
          </w:tcPr>
          <w:p w14:paraId="2D63FF4A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1440" w:type="dxa"/>
            <w:shd w:val="clear" w:color="auto" w:fill="E9F0F2"/>
          </w:tcPr>
          <w:p w14:paraId="70457C6B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40" w:type="dxa"/>
            <w:shd w:val="clear" w:color="auto" w:fill="E9F0F2"/>
          </w:tcPr>
          <w:p w14:paraId="34C2FA1A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40" w:type="dxa"/>
            <w:shd w:val="clear" w:color="auto" w:fill="E9F0F2"/>
          </w:tcPr>
          <w:p w14:paraId="37017A35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80" w:type="dxa"/>
            <w:shd w:val="clear" w:color="auto" w:fill="E9F0F2"/>
          </w:tcPr>
          <w:p w14:paraId="4EBA1706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</w:tr>
      <w:tr w:rsidR="00816AE9" w14:paraId="49969AE5" w14:textId="77777777">
        <w:trPr>
          <w:trHeight w:val="380"/>
        </w:trPr>
        <w:tc>
          <w:tcPr>
            <w:tcW w:w="2640" w:type="dxa"/>
          </w:tcPr>
          <w:p w14:paraId="56109B93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Voluntary Attrition </w:t>
            </w:r>
            <w:r>
              <w:rPr>
                <w:rFonts w:ascii="Arial"/>
                <w:b/>
                <w:spacing w:val="-10"/>
                <w:sz w:val="18"/>
              </w:rPr>
              <w:t>%</w:t>
            </w:r>
          </w:p>
        </w:tc>
        <w:tc>
          <w:tcPr>
            <w:tcW w:w="1440" w:type="dxa"/>
          </w:tcPr>
          <w:p w14:paraId="562D2CA5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2.2%</w:t>
            </w:r>
          </w:p>
        </w:tc>
        <w:tc>
          <w:tcPr>
            <w:tcW w:w="1440" w:type="dxa"/>
          </w:tcPr>
          <w:p w14:paraId="1E169268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2.4%</w:t>
            </w:r>
          </w:p>
        </w:tc>
        <w:tc>
          <w:tcPr>
            <w:tcW w:w="1440" w:type="dxa"/>
          </w:tcPr>
          <w:p w14:paraId="62FB58CD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1.8%</w:t>
            </w:r>
          </w:p>
        </w:tc>
        <w:tc>
          <w:tcPr>
            <w:tcW w:w="1440" w:type="dxa"/>
          </w:tcPr>
          <w:p w14:paraId="5F8A9314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2.1%</w:t>
            </w:r>
          </w:p>
        </w:tc>
        <w:tc>
          <w:tcPr>
            <w:tcW w:w="1480" w:type="dxa"/>
          </w:tcPr>
          <w:p w14:paraId="6239419A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2.1%</w:t>
            </w:r>
          </w:p>
        </w:tc>
      </w:tr>
      <w:tr w:rsidR="00816AE9" w14:paraId="54578503" w14:textId="77777777">
        <w:trPr>
          <w:trHeight w:val="380"/>
        </w:trPr>
        <w:tc>
          <w:tcPr>
            <w:tcW w:w="2640" w:type="dxa"/>
            <w:shd w:val="clear" w:color="auto" w:fill="E9F0F2"/>
          </w:tcPr>
          <w:p w14:paraId="31C116E3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Avg Compa-</w:t>
            </w:r>
            <w:r>
              <w:rPr>
                <w:rFonts w:ascii="Arial"/>
                <w:b/>
                <w:spacing w:val="-2"/>
                <w:sz w:val="18"/>
              </w:rPr>
              <w:t>Ratio</w:t>
            </w:r>
          </w:p>
        </w:tc>
        <w:tc>
          <w:tcPr>
            <w:tcW w:w="1440" w:type="dxa"/>
            <w:shd w:val="clear" w:color="auto" w:fill="E9F0F2"/>
          </w:tcPr>
          <w:p w14:paraId="5797D82F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1440" w:type="dxa"/>
            <w:shd w:val="clear" w:color="auto" w:fill="E9F0F2"/>
          </w:tcPr>
          <w:p w14:paraId="774D551E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1.01</w:t>
            </w:r>
          </w:p>
        </w:tc>
        <w:tc>
          <w:tcPr>
            <w:tcW w:w="1440" w:type="dxa"/>
            <w:shd w:val="clear" w:color="auto" w:fill="E9F0F2"/>
          </w:tcPr>
          <w:p w14:paraId="6CC75C21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1440" w:type="dxa"/>
            <w:shd w:val="clear" w:color="auto" w:fill="E9F0F2"/>
          </w:tcPr>
          <w:p w14:paraId="37263E1F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1.01</w:t>
            </w:r>
          </w:p>
        </w:tc>
        <w:tc>
          <w:tcPr>
            <w:tcW w:w="1480" w:type="dxa"/>
            <w:shd w:val="clear" w:color="auto" w:fill="E9F0F2"/>
          </w:tcPr>
          <w:p w14:paraId="512A06E6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1.01</w:t>
            </w:r>
          </w:p>
        </w:tc>
      </w:tr>
      <w:tr w:rsidR="00816AE9" w14:paraId="25D1C521" w14:textId="77777777">
        <w:trPr>
          <w:trHeight w:val="380"/>
        </w:trPr>
        <w:tc>
          <w:tcPr>
            <w:tcW w:w="2640" w:type="dxa"/>
          </w:tcPr>
          <w:p w14:paraId="3C96ADAA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Backlog per </w:t>
            </w:r>
            <w:r>
              <w:rPr>
                <w:rFonts w:ascii="Arial"/>
                <w:b/>
                <w:spacing w:val="-5"/>
                <w:sz w:val="18"/>
              </w:rPr>
              <w:t>FTE</w:t>
            </w:r>
          </w:p>
        </w:tc>
        <w:tc>
          <w:tcPr>
            <w:tcW w:w="1440" w:type="dxa"/>
          </w:tcPr>
          <w:p w14:paraId="7B9129F9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6.1</w:t>
            </w:r>
          </w:p>
        </w:tc>
        <w:tc>
          <w:tcPr>
            <w:tcW w:w="1440" w:type="dxa"/>
          </w:tcPr>
          <w:p w14:paraId="0B041FC9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3.4</w:t>
            </w:r>
          </w:p>
        </w:tc>
        <w:tc>
          <w:tcPr>
            <w:tcW w:w="1440" w:type="dxa"/>
          </w:tcPr>
          <w:p w14:paraId="38440BE8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3.2</w:t>
            </w:r>
          </w:p>
        </w:tc>
        <w:tc>
          <w:tcPr>
            <w:tcW w:w="1440" w:type="dxa"/>
          </w:tcPr>
          <w:p w14:paraId="25898B5D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480" w:type="dxa"/>
          </w:tcPr>
          <w:p w14:paraId="28B43E96" w14:textId="77777777" w:rsidR="00816AE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3.9</w:t>
            </w:r>
          </w:p>
        </w:tc>
      </w:tr>
    </w:tbl>
    <w:p w14:paraId="7B844526" w14:textId="77777777" w:rsidR="00816AE9" w:rsidRDefault="00000000">
      <w:pPr>
        <w:spacing w:before="87"/>
        <w:ind w:left="200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 xml:space="preserve">Overall values are rolled up from counts, not averaged from the four unit rates: conversion is total </w:t>
      </w:r>
      <w:r>
        <w:rPr>
          <w:rFonts w:ascii="Arial"/>
          <w:i/>
          <w:color w:val="545454"/>
          <w:spacing w:val="-2"/>
          <w:sz w:val="20"/>
        </w:rPr>
        <w:t>interviewed</w:t>
      </w:r>
    </w:p>
    <w:p w14:paraId="1C5DAB8F" w14:textId="77777777" w:rsidR="00816AE9" w:rsidRDefault="00000000">
      <w:pPr>
        <w:spacing w:before="30" w:line="271" w:lineRule="auto"/>
        <w:ind w:left="200" w:right="190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÷ total screened; attrition is total voluntary exits ÷ total beginning population; time-to-fill is weighted by requisitions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filled;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compa-ratio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is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weighted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by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sample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size;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backlog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per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FTE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is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an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unweighted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mean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of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the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four unit values.</w:t>
      </w:r>
    </w:p>
    <w:p w14:paraId="508B3E07" w14:textId="77777777" w:rsidR="00816AE9" w:rsidRDefault="00000000">
      <w:pPr>
        <w:pStyle w:val="Heading2"/>
        <w:spacing w:before="204"/>
        <w:ind w:left="200" w:firstLine="0"/>
      </w:pPr>
      <w:r>
        <w:rPr>
          <w:color w:val="1F4D5E"/>
        </w:rPr>
        <w:t xml:space="preserve">What the evidence </w:t>
      </w:r>
      <w:r>
        <w:rPr>
          <w:color w:val="1F4D5E"/>
          <w:spacing w:val="-2"/>
        </w:rPr>
        <w:t>shows</w:t>
      </w:r>
    </w:p>
    <w:p w14:paraId="08D76B69" w14:textId="77777777" w:rsidR="00816AE9" w:rsidRDefault="00000000">
      <w:pPr>
        <w:pStyle w:val="ListParagraph"/>
        <w:numPr>
          <w:ilvl w:val="1"/>
          <w:numId w:val="1"/>
        </w:numPr>
        <w:tabs>
          <w:tab w:val="left" w:pos="480"/>
        </w:tabs>
        <w:spacing w:before="110" w:line="278" w:lineRule="auto"/>
        <w:ind w:right="470"/>
        <w:jc w:val="both"/>
        <w:rPr>
          <w:sz w:val="21"/>
        </w:rPr>
      </w:pPr>
      <w:r>
        <w:rPr>
          <w:sz w:val="21"/>
        </w:rPr>
        <w:t>East</w:t>
      </w:r>
      <w:r>
        <w:rPr>
          <w:spacing w:val="-3"/>
          <w:sz w:val="21"/>
        </w:rPr>
        <w:t xml:space="preserve"> </w:t>
      </w:r>
      <w:r>
        <w:rPr>
          <w:sz w:val="21"/>
        </w:rPr>
        <w:t>Service</w:t>
      </w:r>
      <w:r>
        <w:rPr>
          <w:spacing w:val="-3"/>
          <w:sz w:val="21"/>
        </w:rPr>
        <w:t xml:space="preserve"> </w:t>
      </w:r>
      <w:r>
        <w:rPr>
          <w:sz w:val="21"/>
        </w:rPr>
        <w:t>Desk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stable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headcount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(no</w:t>
      </w:r>
      <w:r>
        <w:rPr>
          <w:spacing w:val="-3"/>
          <w:sz w:val="21"/>
        </w:rPr>
        <w:t xml:space="preserve"> </w:t>
      </w:r>
      <w:r>
        <w:rPr>
          <w:sz w:val="21"/>
        </w:rPr>
        <w:t>change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quarter)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voluntary</w:t>
      </w:r>
      <w:r>
        <w:rPr>
          <w:spacing w:val="-3"/>
          <w:sz w:val="21"/>
        </w:rPr>
        <w:t xml:space="preserve"> </w:t>
      </w:r>
      <w:r>
        <w:rPr>
          <w:sz w:val="21"/>
        </w:rPr>
        <w:t>attrition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of 2.2%, </w:t>
      </w:r>
      <w:r>
        <w:rPr>
          <w:rFonts w:ascii="Arial" w:hAnsi="Arial"/>
          <w:b/>
          <w:sz w:val="21"/>
        </w:rPr>
        <w:t>close to the Harborline rate of 2.1%</w:t>
      </w:r>
      <w:r>
        <w:rPr>
          <w:sz w:val="21"/>
        </w:rPr>
        <w:t>.</w:t>
      </w:r>
    </w:p>
    <w:p w14:paraId="4B405EF4" w14:textId="77777777" w:rsidR="00816AE9" w:rsidRDefault="00000000">
      <w:pPr>
        <w:pStyle w:val="ListParagraph"/>
        <w:numPr>
          <w:ilvl w:val="1"/>
          <w:numId w:val="1"/>
        </w:numPr>
        <w:tabs>
          <w:tab w:val="left" w:pos="480"/>
        </w:tabs>
        <w:spacing w:before="79" w:line="278" w:lineRule="auto"/>
        <w:ind w:right="412"/>
        <w:jc w:val="both"/>
        <w:rPr>
          <w:sz w:val="21"/>
        </w:rPr>
      </w:pPr>
      <w:r>
        <w:rPr>
          <w:sz w:val="21"/>
        </w:rPr>
        <w:t>Its</w:t>
      </w:r>
      <w:r>
        <w:rPr>
          <w:spacing w:val="-4"/>
          <w:sz w:val="21"/>
        </w:rPr>
        <w:t xml:space="preserve"> </w:t>
      </w:r>
      <w:r>
        <w:rPr>
          <w:sz w:val="21"/>
        </w:rPr>
        <w:t>recruiting</w:t>
      </w:r>
      <w:r>
        <w:rPr>
          <w:spacing w:val="-4"/>
          <w:sz w:val="21"/>
        </w:rPr>
        <w:t xml:space="preserve"> </w:t>
      </w:r>
      <w:r>
        <w:rPr>
          <w:sz w:val="21"/>
        </w:rPr>
        <w:t>evidence</w:t>
      </w:r>
      <w:r>
        <w:rPr>
          <w:spacing w:val="-4"/>
          <w:sz w:val="21"/>
        </w:rPr>
        <w:t xml:space="preserve"> </w:t>
      </w:r>
      <w:r>
        <w:rPr>
          <w:sz w:val="21"/>
        </w:rPr>
        <w:t>tells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different</w:t>
      </w:r>
      <w:r>
        <w:rPr>
          <w:spacing w:val="-4"/>
          <w:sz w:val="21"/>
        </w:rPr>
        <w:t xml:space="preserve"> </w:t>
      </w:r>
      <w:r>
        <w:rPr>
          <w:sz w:val="21"/>
        </w:rPr>
        <w:t>story:</w:t>
      </w:r>
      <w:r>
        <w:rPr>
          <w:spacing w:val="-4"/>
          <w:sz w:val="21"/>
        </w:rPr>
        <w:t xml:space="preserve"> </w:t>
      </w:r>
      <w:r>
        <w:rPr>
          <w:sz w:val="21"/>
        </w:rPr>
        <w:t>Screened-to-Interview</w:t>
      </w:r>
      <w:r>
        <w:rPr>
          <w:spacing w:val="-4"/>
          <w:sz w:val="21"/>
        </w:rPr>
        <w:t xml:space="preserve"> </w:t>
      </w:r>
      <w:r>
        <w:rPr>
          <w:sz w:val="21"/>
        </w:rPr>
        <w:t>conversion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35%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against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54% organization-wide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average</w:t>
      </w:r>
      <w:r>
        <w:rPr>
          <w:spacing w:val="-2"/>
          <w:sz w:val="21"/>
        </w:rPr>
        <w:t xml:space="preserve"> </w:t>
      </w:r>
      <w:r>
        <w:rPr>
          <w:sz w:val="21"/>
        </w:rPr>
        <w:t>time-to-fill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46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days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against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32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backlog</w:t>
      </w:r>
      <w:r>
        <w:rPr>
          <w:spacing w:val="-2"/>
          <w:sz w:val="21"/>
        </w:rPr>
        <w:t xml:space="preserve"> </w:t>
      </w:r>
      <w:r>
        <w:rPr>
          <w:sz w:val="21"/>
        </w:rPr>
        <w:t>per</w:t>
      </w:r>
      <w:r>
        <w:rPr>
          <w:spacing w:val="-2"/>
          <w:sz w:val="21"/>
        </w:rPr>
        <w:t xml:space="preserve"> </w:t>
      </w:r>
      <w:r>
        <w:rPr>
          <w:sz w:val="21"/>
        </w:rPr>
        <w:t>FTE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6.1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against </w:t>
      </w:r>
      <w:r>
        <w:rPr>
          <w:rFonts w:ascii="Arial" w:hAnsi="Arial"/>
          <w:b/>
          <w:spacing w:val="-4"/>
          <w:sz w:val="21"/>
        </w:rPr>
        <w:t>3.9</w:t>
      </w:r>
      <w:r>
        <w:rPr>
          <w:spacing w:val="-4"/>
          <w:sz w:val="21"/>
        </w:rPr>
        <w:t>.</w:t>
      </w:r>
    </w:p>
    <w:p w14:paraId="7F879F3D" w14:textId="77777777" w:rsidR="00816AE9" w:rsidRDefault="00000000">
      <w:pPr>
        <w:pStyle w:val="ListParagraph"/>
        <w:numPr>
          <w:ilvl w:val="1"/>
          <w:numId w:val="1"/>
        </w:numPr>
        <w:tabs>
          <w:tab w:val="left" w:pos="480"/>
        </w:tabs>
        <w:spacing w:line="278" w:lineRule="auto"/>
        <w:ind w:right="703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controlled</w:t>
      </w:r>
      <w:r>
        <w:rPr>
          <w:spacing w:val="-4"/>
          <w:sz w:val="21"/>
        </w:rPr>
        <w:t xml:space="preserve"> </w:t>
      </w:r>
      <w:r>
        <w:rPr>
          <w:sz w:val="21"/>
        </w:rPr>
        <w:t>compensation</w:t>
      </w:r>
      <w:r>
        <w:rPr>
          <w:spacing w:val="-4"/>
          <w:sz w:val="21"/>
        </w:rPr>
        <w:t xml:space="preserve"> </w:t>
      </w:r>
      <w:r>
        <w:rPr>
          <w:sz w:val="21"/>
        </w:rPr>
        <w:t>comparison</w:t>
      </w:r>
      <w:r>
        <w:rPr>
          <w:spacing w:val="-4"/>
          <w:sz w:val="21"/>
        </w:rPr>
        <w:t xml:space="preserve"> </w:t>
      </w:r>
      <w:r>
        <w:rPr>
          <w:sz w:val="21"/>
        </w:rPr>
        <w:t>(same</w:t>
      </w:r>
      <w:r>
        <w:rPr>
          <w:spacing w:val="-4"/>
          <w:sz w:val="21"/>
        </w:rPr>
        <w:t xml:space="preserve"> </w:t>
      </w:r>
      <w:r>
        <w:rPr>
          <w:sz w:val="21"/>
        </w:rPr>
        <w:t>location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job</w:t>
      </w:r>
      <w:r>
        <w:rPr>
          <w:spacing w:val="-4"/>
          <w:sz w:val="21"/>
        </w:rPr>
        <w:t xml:space="preserve"> </w:t>
      </w:r>
      <w:r>
        <w:rPr>
          <w:sz w:val="21"/>
        </w:rPr>
        <w:t>level)</w:t>
      </w:r>
      <w:r>
        <w:rPr>
          <w:spacing w:val="-4"/>
          <w:sz w:val="21"/>
        </w:rPr>
        <w:t xml:space="preserve"> </w:t>
      </w:r>
      <w:r>
        <w:rPr>
          <w:sz w:val="21"/>
        </w:rPr>
        <w:t>remains</w:t>
      </w:r>
      <w:r>
        <w:rPr>
          <w:spacing w:val="-4"/>
          <w:sz w:val="21"/>
        </w:rPr>
        <w:t xml:space="preserve"> </w:t>
      </w:r>
      <w:r>
        <w:rPr>
          <w:sz w:val="21"/>
        </w:rPr>
        <w:t>aligned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the relevant peer context — 1.00 against a 1.00–1.01 range.</w:t>
      </w:r>
    </w:p>
    <w:p w14:paraId="10F4D6E2" w14:textId="77777777" w:rsidR="00816AE9" w:rsidRDefault="00000000">
      <w:pPr>
        <w:pStyle w:val="ListParagraph"/>
        <w:numPr>
          <w:ilvl w:val="1"/>
          <w:numId w:val="1"/>
        </w:numPr>
        <w:tabs>
          <w:tab w:val="left" w:pos="480"/>
        </w:tabs>
        <w:spacing w:line="278" w:lineRule="auto"/>
        <w:ind w:right="492"/>
        <w:rPr>
          <w:sz w:val="21"/>
        </w:rPr>
      </w:pPr>
      <w:r>
        <w:rPr>
          <w:sz w:val="21"/>
        </w:rPr>
        <w:t>Looking</w:t>
      </w:r>
      <w:r>
        <w:rPr>
          <w:spacing w:val="-3"/>
          <w:sz w:val="21"/>
        </w:rPr>
        <w:t xml:space="preserve"> </w:t>
      </w:r>
      <w:r>
        <w:rPr>
          <w:sz w:val="21"/>
        </w:rPr>
        <w:t>only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headcount</w:t>
      </w:r>
      <w:r>
        <w:rPr>
          <w:spacing w:val="-3"/>
          <w:sz w:val="21"/>
        </w:rPr>
        <w:t xml:space="preserve"> </w:t>
      </w:r>
      <w:r>
        <w:rPr>
          <w:sz w:val="21"/>
        </w:rPr>
        <w:t>would</w:t>
      </w:r>
      <w:r>
        <w:rPr>
          <w:spacing w:val="-3"/>
          <w:sz w:val="21"/>
        </w:rPr>
        <w:t xml:space="preserve"> </w:t>
      </w:r>
      <w:r>
        <w:rPr>
          <w:sz w:val="21"/>
        </w:rPr>
        <w:t>miss</w:t>
      </w:r>
      <w:r>
        <w:rPr>
          <w:spacing w:val="-3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entirely.</w:t>
      </w:r>
      <w:r>
        <w:rPr>
          <w:spacing w:val="-3"/>
          <w:sz w:val="21"/>
        </w:rPr>
        <w:t xml:space="preserve"> </w:t>
      </w:r>
      <w:r>
        <w:rPr>
          <w:sz w:val="21"/>
        </w:rPr>
        <w:t>Looking</w:t>
      </w:r>
      <w:r>
        <w:rPr>
          <w:spacing w:val="-3"/>
          <w:sz w:val="21"/>
        </w:rPr>
        <w:t xml:space="preserve"> </w:t>
      </w:r>
      <w:r>
        <w:rPr>
          <w:sz w:val="21"/>
        </w:rPr>
        <w:t>only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attrition</w:t>
      </w:r>
      <w:r>
        <w:rPr>
          <w:spacing w:val="-3"/>
          <w:sz w:val="21"/>
        </w:rPr>
        <w:t xml:space="preserve"> </w:t>
      </w:r>
      <w:r>
        <w:rPr>
          <w:sz w:val="21"/>
        </w:rPr>
        <w:t>would</w:t>
      </w:r>
      <w:r>
        <w:rPr>
          <w:spacing w:val="-3"/>
          <w:sz w:val="21"/>
        </w:rPr>
        <w:t xml:space="preserve"> </w:t>
      </w:r>
      <w:r>
        <w:rPr>
          <w:sz w:val="21"/>
        </w:rPr>
        <w:t>also</w:t>
      </w:r>
      <w:r>
        <w:rPr>
          <w:spacing w:val="-3"/>
          <w:sz w:val="21"/>
        </w:rPr>
        <w:t xml:space="preserve"> </w:t>
      </w:r>
      <w:r>
        <w:rPr>
          <w:sz w:val="21"/>
        </w:rPr>
        <w:t>produce</w:t>
      </w:r>
      <w:r>
        <w:rPr>
          <w:spacing w:val="-3"/>
          <w:sz w:val="21"/>
        </w:rPr>
        <w:t xml:space="preserve"> </w:t>
      </w:r>
      <w:r>
        <w:rPr>
          <w:sz w:val="21"/>
        </w:rPr>
        <w:t>an incomplete interpretation.</w:t>
      </w:r>
    </w:p>
    <w:p w14:paraId="1BE448FC" w14:textId="77777777" w:rsidR="00816AE9" w:rsidRDefault="00000000">
      <w:pPr>
        <w:spacing w:before="79" w:line="271" w:lineRule="auto"/>
        <w:ind w:left="200" w:right="190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>What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to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notice: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the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strongest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workforce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finding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is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not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automatically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the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largest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number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or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the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most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dramatic chart. It is the pattern that best answers the business question and is most strongly supported by the combined evidence.</w:t>
      </w:r>
    </w:p>
    <w:p w14:paraId="1FD0BDD2" w14:textId="77777777" w:rsidR="00816AE9" w:rsidRDefault="00816AE9">
      <w:pPr>
        <w:spacing w:line="271" w:lineRule="auto"/>
        <w:rPr>
          <w:rFonts w:ascii="Arial"/>
          <w:i/>
          <w:sz w:val="20"/>
        </w:rPr>
        <w:sectPr w:rsidR="00816AE9">
          <w:type w:val="continuous"/>
          <w:pgSz w:w="12240" w:h="15840"/>
          <w:pgMar w:top="1240" w:right="1080" w:bottom="280" w:left="1080" w:header="720" w:footer="720" w:gutter="0"/>
          <w:cols w:space="720"/>
        </w:sectPr>
      </w:pPr>
    </w:p>
    <w:p w14:paraId="260EE5B3" w14:textId="77777777" w:rsidR="00816AE9" w:rsidRDefault="00000000">
      <w:pPr>
        <w:pStyle w:val="Heading2"/>
        <w:numPr>
          <w:ilvl w:val="0"/>
          <w:numId w:val="1"/>
        </w:numPr>
        <w:tabs>
          <w:tab w:val="left" w:pos="477"/>
        </w:tabs>
        <w:spacing w:before="75"/>
        <w:ind w:hanging="277"/>
      </w:pPr>
      <w:r>
        <w:rPr>
          <w:color w:val="1F4D5E"/>
        </w:rPr>
        <w:lastRenderedPageBreak/>
        <w:t xml:space="preserve">Validate the AI-assisted </w:t>
      </w:r>
      <w:r>
        <w:rPr>
          <w:color w:val="1F4D5E"/>
          <w:spacing w:val="-2"/>
        </w:rPr>
        <w:t>interpretation</w:t>
      </w:r>
    </w:p>
    <w:p w14:paraId="248ED7A6" w14:textId="77777777" w:rsidR="00816AE9" w:rsidRDefault="00816AE9">
      <w:pPr>
        <w:pStyle w:val="BodyText"/>
        <w:spacing w:before="0"/>
        <w:ind w:left="0"/>
        <w:rPr>
          <w:rFonts w:ascii="Arial"/>
          <w:b/>
          <w:sz w:val="8"/>
        </w:rPr>
      </w:pPr>
    </w:p>
    <w:tbl>
      <w:tblPr>
        <w:tblW w:w="0" w:type="auto"/>
        <w:tblInd w:w="10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1160"/>
        <w:gridCol w:w="5360"/>
      </w:tblGrid>
      <w:tr w:rsidR="00816AE9" w14:paraId="48D5EF50" w14:textId="77777777">
        <w:trPr>
          <w:trHeight w:val="610"/>
        </w:trPr>
        <w:tc>
          <w:tcPr>
            <w:tcW w:w="3360" w:type="dxa"/>
            <w:shd w:val="clear" w:color="auto" w:fill="1F4D5E"/>
          </w:tcPr>
          <w:p w14:paraId="16F3CA0F" w14:textId="77777777" w:rsidR="00816AE9" w:rsidRDefault="00000000">
            <w:pPr>
              <w:pStyle w:val="TableParagraph"/>
              <w:spacing w:line="266" w:lineRule="auto"/>
              <w:ind w:right="7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Statement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in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the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AI-assisted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interpretation</w:t>
            </w:r>
          </w:p>
        </w:tc>
        <w:tc>
          <w:tcPr>
            <w:tcW w:w="1160" w:type="dxa"/>
            <w:shd w:val="clear" w:color="auto" w:fill="1F4D5E"/>
          </w:tcPr>
          <w:p w14:paraId="219B5141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Decision</w:t>
            </w:r>
          </w:p>
        </w:tc>
        <w:tc>
          <w:tcPr>
            <w:tcW w:w="5360" w:type="dxa"/>
            <w:shd w:val="clear" w:color="auto" w:fill="1F4D5E"/>
          </w:tcPr>
          <w:p w14:paraId="5E89001B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Reason</w:t>
            </w:r>
          </w:p>
        </w:tc>
      </w:tr>
      <w:tr w:rsidR="00816AE9" w14:paraId="15271BD3" w14:textId="77777777">
        <w:trPr>
          <w:trHeight w:val="1070"/>
        </w:trPr>
        <w:tc>
          <w:tcPr>
            <w:tcW w:w="3360" w:type="dxa"/>
          </w:tcPr>
          <w:p w14:paraId="524AB24B" w14:textId="77777777" w:rsidR="00816AE9" w:rsidRDefault="00000000">
            <w:pPr>
              <w:pStyle w:val="TableParagraph"/>
              <w:spacing w:line="266" w:lineRule="auto"/>
              <w:ind w:right="786"/>
              <w:rPr>
                <w:sz w:val="18"/>
              </w:rPr>
            </w:pPr>
            <w:r>
              <w:rPr>
                <w:sz w:val="18"/>
              </w:rPr>
              <w:t>East Service Desk shows recruiting-throughput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pressure.</w:t>
            </w:r>
          </w:p>
        </w:tc>
        <w:tc>
          <w:tcPr>
            <w:tcW w:w="1160" w:type="dxa"/>
          </w:tcPr>
          <w:p w14:paraId="16A6C61C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Accept</w:t>
            </w:r>
          </w:p>
        </w:tc>
        <w:tc>
          <w:tcPr>
            <w:tcW w:w="5360" w:type="dxa"/>
          </w:tcPr>
          <w:p w14:paraId="170AD201" w14:textId="77777777" w:rsidR="00816AE9" w:rsidRDefault="00000000">
            <w:pPr>
              <w:pStyle w:val="TableParagraph"/>
              <w:spacing w:line="266" w:lineRule="auto"/>
              <w:ind w:right="27"/>
              <w:rPr>
                <w:sz w:val="18"/>
              </w:rPr>
            </w:pPr>
            <w:r>
              <w:rPr>
                <w:sz w:val="18"/>
              </w:rPr>
              <w:t>Lower conversion (35% vs 54%), longer time-to-fill (46 vs 32 days) and higher backlog per FTE (6.1 vs 3.9) all support the observation,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compatible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populations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periods.</w:t>
            </w:r>
          </w:p>
        </w:tc>
      </w:tr>
      <w:tr w:rsidR="00816AE9" w14:paraId="6DDA0DBD" w14:textId="77777777">
        <w:trPr>
          <w:trHeight w:val="1070"/>
        </w:trPr>
        <w:tc>
          <w:tcPr>
            <w:tcW w:w="3360" w:type="dxa"/>
            <w:shd w:val="clear" w:color="auto" w:fill="E9F0F2"/>
          </w:tcPr>
          <w:p w14:paraId="18632E9E" w14:textId="77777777" w:rsidR="00816AE9" w:rsidRDefault="00000000">
            <w:pPr>
              <w:pStyle w:val="TableParagraph"/>
              <w:spacing w:line="266" w:lineRule="auto"/>
              <w:ind w:right="48"/>
              <w:rPr>
                <w:sz w:val="18"/>
              </w:rPr>
            </w:pPr>
            <w:r>
              <w:rPr>
                <w:sz w:val="18"/>
              </w:rPr>
              <w:t>Attrition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primary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reason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 backlog increased.</w:t>
            </w:r>
          </w:p>
        </w:tc>
        <w:tc>
          <w:tcPr>
            <w:tcW w:w="1160" w:type="dxa"/>
            <w:shd w:val="clear" w:color="auto" w:fill="E9F0F2"/>
          </w:tcPr>
          <w:p w14:paraId="30002962" w14:textId="77777777" w:rsidR="00816AE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Reject</w:t>
            </w:r>
          </w:p>
        </w:tc>
        <w:tc>
          <w:tcPr>
            <w:tcW w:w="5360" w:type="dxa"/>
            <w:shd w:val="clear" w:color="auto" w:fill="E9F0F2"/>
          </w:tcPr>
          <w:p w14:paraId="1140611B" w14:textId="77777777" w:rsidR="00816AE9" w:rsidRDefault="00000000"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sz w:val="18"/>
              </w:rPr>
              <w:t>East's voluntary attrition (2.2%) is close to the Harborline rate (2.1%),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elevated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attrition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pattern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claim. The descriptive package also cannot establish </w:t>
            </w:r>
            <w:r>
              <w:rPr>
                <w:rFonts w:ascii="Arial"/>
                <w:i/>
                <w:sz w:val="18"/>
              </w:rPr>
              <w:t xml:space="preserve">why </w:t>
            </w:r>
            <w:r>
              <w:rPr>
                <w:sz w:val="18"/>
              </w:rPr>
              <w:t xml:space="preserve">backlog </w:t>
            </w:r>
            <w:r>
              <w:rPr>
                <w:spacing w:val="-2"/>
                <w:sz w:val="18"/>
              </w:rPr>
              <w:t>increased.</w:t>
            </w:r>
          </w:p>
        </w:tc>
      </w:tr>
    </w:tbl>
    <w:p w14:paraId="614E100F" w14:textId="77777777" w:rsidR="00816AE9" w:rsidRDefault="00000000">
      <w:pPr>
        <w:spacing w:before="87"/>
        <w:ind w:left="200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 xml:space="preserve">What to notice: an AI-assisted interpretation is something to evaluate. It is not evidence by </w:t>
      </w:r>
      <w:r>
        <w:rPr>
          <w:rFonts w:ascii="Arial"/>
          <w:i/>
          <w:color w:val="545454"/>
          <w:spacing w:val="-2"/>
          <w:sz w:val="20"/>
        </w:rPr>
        <w:t>itself.</w:t>
      </w:r>
    </w:p>
    <w:p w14:paraId="0ACAE7CB" w14:textId="77777777" w:rsidR="00816AE9" w:rsidRDefault="00816AE9">
      <w:pPr>
        <w:pStyle w:val="BodyText"/>
        <w:spacing w:before="3"/>
        <w:ind w:left="0"/>
        <w:rPr>
          <w:rFonts w:ascii="Arial"/>
          <w:i/>
          <w:sz w:val="20"/>
        </w:rPr>
      </w:pPr>
    </w:p>
    <w:p w14:paraId="252B1025" w14:textId="77777777" w:rsidR="00816AE9" w:rsidRDefault="00000000">
      <w:pPr>
        <w:pStyle w:val="Heading2"/>
        <w:numPr>
          <w:ilvl w:val="0"/>
          <w:numId w:val="1"/>
        </w:numPr>
        <w:tabs>
          <w:tab w:val="left" w:pos="477"/>
        </w:tabs>
        <w:ind w:hanging="277"/>
      </w:pPr>
      <w:r>
        <w:rPr>
          <w:color w:val="1F4D5E"/>
        </w:rPr>
        <w:t xml:space="preserve">Integrate the evidence, then </w:t>
      </w:r>
      <w:r>
        <w:rPr>
          <w:color w:val="1F4D5E"/>
          <w:spacing w:val="-2"/>
        </w:rPr>
        <w:t>recommend</w:t>
      </w:r>
    </w:p>
    <w:p w14:paraId="0017142B" w14:textId="77777777" w:rsidR="00816AE9" w:rsidRDefault="00000000">
      <w:pPr>
        <w:pStyle w:val="BodyText"/>
        <w:spacing w:before="110" w:line="278" w:lineRule="auto"/>
        <w:ind w:right="190"/>
      </w:pPr>
      <w:r>
        <w:rPr>
          <w:rFonts w:ascii="Arial" w:hAnsi="Arial"/>
          <w:b/>
        </w:rPr>
        <w:t xml:space="preserve">Integrated finding: </w:t>
      </w:r>
      <w:r>
        <w:t>recruiting-throughput pressure in East Service Desk is the most decision-relevant pattern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weaker</w:t>
      </w:r>
      <w:r>
        <w:rPr>
          <w:spacing w:val="-3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time-to-fill,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elevated</w:t>
      </w:r>
      <w:r>
        <w:rPr>
          <w:spacing w:val="-3"/>
        </w:rPr>
        <w:t xml:space="preserve"> </w:t>
      </w:r>
      <w:r>
        <w:t>backlog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FTE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supporting operational context, while headcount, attrition and controlled compensation evidence show no comparable signal.</w:t>
      </w:r>
    </w:p>
    <w:p w14:paraId="106D55FE" w14:textId="77777777" w:rsidR="00816AE9" w:rsidRDefault="00000000">
      <w:pPr>
        <w:pStyle w:val="BodyText"/>
        <w:spacing w:before="120" w:line="278" w:lineRule="auto"/>
        <w:ind w:right="190"/>
      </w:pPr>
      <w:r>
        <w:rPr>
          <w:rFonts w:ascii="Arial"/>
          <w:b/>
        </w:rPr>
        <w:t>Options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compared:</w:t>
      </w:r>
      <w:r>
        <w:rPr>
          <w:rFonts w:ascii="Arial"/>
          <w:b/>
          <w:spacing w:val="-4"/>
        </w:rPr>
        <w:t xml:space="preserve"> </w:t>
      </w:r>
      <w:r>
        <w:t>(a)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Recruiting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funnel</w:t>
      </w:r>
      <w:r>
        <w:rPr>
          <w:spacing w:val="-4"/>
        </w:rPr>
        <w:t xml:space="preserve"> </w:t>
      </w:r>
      <w:r>
        <w:t>review,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(b)</w:t>
      </w:r>
      <w:r>
        <w:rPr>
          <w:spacing w:val="-4"/>
        </w:rPr>
        <w:t xml:space="preserve"> </w:t>
      </w:r>
      <w:r>
        <w:t>short-term</w:t>
      </w:r>
      <w:r>
        <w:rPr>
          <w:spacing w:val="-4"/>
        </w:rPr>
        <w:t xml:space="preserve"> </w:t>
      </w:r>
      <w:r>
        <w:t xml:space="preserve">workload </w:t>
      </w:r>
      <w:r>
        <w:rPr>
          <w:spacing w:val="-2"/>
        </w:rPr>
        <w:t>redistribution.</w:t>
      </w:r>
    </w:p>
    <w:p w14:paraId="4D88B6BC" w14:textId="77777777" w:rsidR="00816AE9" w:rsidRDefault="00000000">
      <w:pPr>
        <w:pStyle w:val="BodyText"/>
        <w:spacing w:before="120" w:line="278" w:lineRule="auto"/>
        <w:ind w:right="190"/>
      </w:pPr>
      <w:r>
        <w:rPr>
          <w:rFonts w:ascii="Arial"/>
          <w:b/>
        </w:rPr>
        <w:t>Recommendation:</w:t>
      </w:r>
      <w:r>
        <w:rPr>
          <w:rFonts w:ascii="Arial"/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Recruiting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funnel</w:t>
      </w:r>
      <w:r>
        <w:rPr>
          <w:spacing w:val="-4"/>
        </w:rPr>
        <w:t xml:space="preserve"> </w:t>
      </w:r>
      <w:r>
        <w:t>review,</w:t>
      </w:r>
      <w:r>
        <w:rPr>
          <w:spacing w:val="-4"/>
        </w:rPr>
        <w:t xml:space="preserve"> </w:t>
      </w:r>
      <w:r>
        <w:t>owned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Recruiting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lead with the East Service Desk manager, within 30 days. It is selected because it addresses the strongest supported workforce signal; workload redistribution treats the backlog symptom without touching the throughput evidence.</w:t>
      </w:r>
    </w:p>
    <w:p w14:paraId="10D71A0B" w14:textId="77777777" w:rsidR="00816AE9" w:rsidRDefault="00000000">
      <w:pPr>
        <w:pStyle w:val="BodyText"/>
        <w:spacing w:before="119" w:line="278" w:lineRule="auto"/>
        <w:ind w:right="598"/>
        <w:jc w:val="both"/>
      </w:pPr>
      <w:r>
        <w:rPr>
          <w:rFonts w:ascii="Arial"/>
          <w:b/>
        </w:rPr>
        <w:t>Limitation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next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evidence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need:</w:t>
      </w:r>
      <w:r>
        <w:rPr>
          <w:rFonts w:ascii="Arial"/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descriptive</w:t>
      </w:r>
      <w:r>
        <w:rPr>
          <w:spacing w:val="-1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rPr>
          <w:rFonts w:ascii="Arial"/>
          <w:i/>
        </w:rPr>
        <w:t>where</w:t>
      </w:r>
      <w:r>
        <w:rPr>
          <w:rFonts w:ascii="Arial"/>
          <w:i/>
          <w:spacing w:val="-1"/>
        </w:rPr>
        <w:t xml:space="preserve"> </w:t>
      </w:r>
      <w:r>
        <w:t>recruiting</w:t>
      </w:r>
      <w:r>
        <w:rPr>
          <w:spacing w:val="-1"/>
        </w:rPr>
        <w:t xml:space="preserve"> </w:t>
      </w:r>
      <w:r>
        <w:t>throughput</w:t>
      </w:r>
      <w:r>
        <w:rPr>
          <w:spacing w:val="-1"/>
        </w:rPr>
        <w:t xml:space="preserve"> </w:t>
      </w:r>
      <w:r>
        <w:t>is weaker,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rFonts w:ascii="Arial"/>
          <w:i/>
        </w:rPr>
        <w:t>why</w:t>
      </w:r>
      <w:r>
        <w:rPr>
          <w:rFonts w:ascii="Arial"/>
          <w:i/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lower.</w:t>
      </w:r>
      <w:r>
        <w:rPr>
          <w:spacing w:val="-3"/>
        </w:rPr>
        <w:t xml:space="preserve"> </w:t>
      </w:r>
      <w:r>
        <w:t>Recruiter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stage-level</w:t>
      </w:r>
      <w:r>
        <w:rPr>
          <w:spacing w:val="-3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diagnostics would be useful next evidence.</w:t>
      </w:r>
    </w:p>
    <w:p w14:paraId="270ECDCC" w14:textId="77777777" w:rsidR="00816AE9" w:rsidRDefault="00000000">
      <w:pPr>
        <w:spacing w:before="119" w:line="271" w:lineRule="auto"/>
        <w:ind w:left="200" w:right="206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What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to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notice: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select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the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recommendation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after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integrating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the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evidence,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not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before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—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and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match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the strength of the action to the strength of the evidence.</w:t>
      </w:r>
    </w:p>
    <w:p w14:paraId="7DF9CE9E" w14:textId="77777777" w:rsidR="00816AE9" w:rsidRDefault="00816AE9">
      <w:pPr>
        <w:pStyle w:val="BodyText"/>
        <w:spacing w:before="130"/>
        <w:ind w:left="0"/>
        <w:rPr>
          <w:rFonts w:ascii="Arial"/>
          <w:i/>
          <w:sz w:val="20"/>
        </w:rPr>
      </w:pPr>
    </w:p>
    <w:p w14:paraId="7378767C" w14:textId="77777777" w:rsidR="00816AE9" w:rsidRDefault="00000000">
      <w:pPr>
        <w:ind w:left="200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 xml:space="preserve">All data is fully synthetic (Northwind Health Group). No real people. Safe for screenshots and AI </w:t>
      </w:r>
      <w:r>
        <w:rPr>
          <w:rFonts w:ascii="Arial"/>
          <w:i/>
          <w:color w:val="545454"/>
          <w:spacing w:val="-2"/>
          <w:sz w:val="19"/>
        </w:rPr>
        <w:t>tools.</w:t>
      </w:r>
    </w:p>
    <w:sectPr w:rsidR="00816AE9">
      <w:pgSz w:w="12240" w:h="15840"/>
      <w:pgMar w:top="12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6B71"/>
    <w:multiLevelType w:val="hybridMultilevel"/>
    <w:tmpl w:val="0C240F34"/>
    <w:lvl w:ilvl="0" w:tplc="AF54B36A">
      <w:start w:val="1"/>
      <w:numFmt w:val="decimal"/>
      <w:lvlText w:val="%1."/>
      <w:lvlJc w:val="left"/>
      <w:pPr>
        <w:ind w:left="477" w:hanging="278"/>
        <w:jc w:val="left"/>
      </w:pPr>
      <w:rPr>
        <w:rFonts w:ascii="Arial" w:eastAsia="Arial" w:hAnsi="Arial" w:cs="Arial" w:hint="default"/>
        <w:b/>
        <w:bCs/>
        <w:i w:val="0"/>
        <w:iCs w:val="0"/>
        <w:color w:val="1F4D5E"/>
        <w:spacing w:val="0"/>
        <w:w w:val="100"/>
        <w:sz w:val="25"/>
        <w:szCs w:val="25"/>
        <w:lang w:val="en-US" w:eastAsia="en-US" w:bidi="ar-SA"/>
      </w:rPr>
    </w:lvl>
    <w:lvl w:ilvl="1" w:tplc="9F98F6A0">
      <w:numFmt w:val="bullet"/>
      <w:lvlText w:val="•"/>
      <w:lvlJc w:val="left"/>
      <w:pPr>
        <w:ind w:left="48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5501B8E">
      <w:numFmt w:val="bullet"/>
      <w:lvlText w:val="•"/>
      <w:lvlJc w:val="left"/>
      <w:pPr>
        <w:ind w:left="2400" w:hanging="220"/>
      </w:pPr>
      <w:rPr>
        <w:rFonts w:hint="default"/>
        <w:lang w:val="en-US" w:eastAsia="en-US" w:bidi="ar-SA"/>
      </w:rPr>
    </w:lvl>
    <w:lvl w:ilvl="3" w:tplc="5BCABAA6">
      <w:numFmt w:val="bullet"/>
      <w:lvlText w:val="•"/>
      <w:lvlJc w:val="left"/>
      <w:pPr>
        <w:ind w:left="3360" w:hanging="220"/>
      </w:pPr>
      <w:rPr>
        <w:rFonts w:hint="default"/>
        <w:lang w:val="en-US" w:eastAsia="en-US" w:bidi="ar-SA"/>
      </w:rPr>
    </w:lvl>
    <w:lvl w:ilvl="4" w:tplc="0C8CCE16">
      <w:numFmt w:val="bullet"/>
      <w:lvlText w:val="•"/>
      <w:lvlJc w:val="left"/>
      <w:pPr>
        <w:ind w:left="4320" w:hanging="220"/>
      </w:pPr>
      <w:rPr>
        <w:rFonts w:hint="default"/>
        <w:lang w:val="en-US" w:eastAsia="en-US" w:bidi="ar-SA"/>
      </w:rPr>
    </w:lvl>
    <w:lvl w:ilvl="5" w:tplc="B5483D80">
      <w:numFmt w:val="bullet"/>
      <w:lvlText w:val="•"/>
      <w:lvlJc w:val="left"/>
      <w:pPr>
        <w:ind w:left="5280" w:hanging="220"/>
      </w:pPr>
      <w:rPr>
        <w:rFonts w:hint="default"/>
        <w:lang w:val="en-US" w:eastAsia="en-US" w:bidi="ar-SA"/>
      </w:rPr>
    </w:lvl>
    <w:lvl w:ilvl="6" w:tplc="C8BA32FC">
      <w:numFmt w:val="bullet"/>
      <w:lvlText w:val="•"/>
      <w:lvlJc w:val="left"/>
      <w:pPr>
        <w:ind w:left="6240" w:hanging="220"/>
      </w:pPr>
      <w:rPr>
        <w:rFonts w:hint="default"/>
        <w:lang w:val="en-US" w:eastAsia="en-US" w:bidi="ar-SA"/>
      </w:rPr>
    </w:lvl>
    <w:lvl w:ilvl="7" w:tplc="719CE22A">
      <w:numFmt w:val="bullet"/>
      <w:lvlText w:val="•"/>
      <w:lvlJc w:val="left"/>
      <w:pPr>
        <w:ind w:left="7200" w:hanging="220"/>
      </w:pPr>
      <w:rPr>
        <w:rFonts w:hint="default"/>
        <w:lang w:val="en-US" w:eastAsia="en-US" w:bidi="ar-SA"/>
      </w:rPr>
    </w:lvl>
    <w:lvl w:ilvl="8" w:tplc="182EE678">
      <w:numFmt w:val="bullet"/>
      <w:lvlText w:val="•"/>
      <w:lvlJc w:val="left"/>
      <w:pPr>
        <w:ind w:left="8160" w:hanging="220"/>
      </w:pPr>
      <w:rPr>
        <w:rFonts w:hint="default"/>
        <w:lang w:val="en-US" w:eastAsia="en-US" w:bidi="ar-SA"/>
      </w:rPr>
    </w:lvl>
  </w:abstractNum>
  <w:num w:numId="1" w16cid:durableId="158009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6AE9"/>
    <w:rsid w:val="00816AE9"/>
    <w:rsid w:val="00C50E5A"/>
    <w:rsid w:val="00D3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C59C"/>
  <w15:docId w15:val="{A6BEABC9-2670-4090-B01D-FB4C7A14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200" w:right="19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77" w:hanging="27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20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0"/>
      <w:ind w:left="477" w:hanging="277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- Workforce Analytics Deep Dive Example</dc:title>
  <dc:subject>(unspecified)</dc:subject>
  <dc:creator>(anonymous)</dc:creator>
  <cp:lastModifiedBy>Hemang Inamdar</cp:lastModifiedBy>
  <cp:revision>2</cp:revision>
  <dcterms:created xsi:type="dcterms:W3CDTF">2026-09-29T13:04:00Z</dcterms:created>
  <dcterms:modified xsi:type="dcterms:W3CDTF">2026-09-29T13:08:00Z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(opensource)</vt:lpwstr>
  </property>
</Properties>
</file>