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ComplyAI - High-Level Launch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Version: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0.1 (Draft)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Date: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Month X, 2025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Prepared By: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[Name]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Purpose: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document outlines the initial high-level plan for launching the ComplyAI platform to the market, focusing on early adopter acquisition within medium-to-large financial institutions. It serves as a basis for discussion and feedback with key stakeholders (Marketing, Sales, Engineering, Legal/Compliance).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 Launch Goals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(Define 2-3 specific, measurable, achievable, relevant, and time-bound (SMART) goals for the first 3-6 months post-launch. Consider areas like adoption, satisfaction, revenue pipeline, or market positioning.)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Goal 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[Goal 1 here]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Goal 2: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[Goal 2 here]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Goal 3 (Optional):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[Goal 3 here]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Acquire 15 early adopter clients from medium-large financial institutions within 6 months.)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 Target Audience Segments &amp; Key Messaging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Primary Target Market: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Medium-to-large financial institutions.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Key Audience Segments/Personas (Based on provided profiles):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Segment 1 (e.g., Chief Compliance Officer):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Key Messaging: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[1-2 sentences highlighting core benefit/addressing pain points for this persona]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Segment 2 (e.g., IT Manager):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Key Messaging: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[1-2 sentences highlighting core benefit/addressing pain points for this persona]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Segment 3 (e.g., Risk Analyst):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Key Messaging: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[1-2 sentences highlighting core benefit/addressing pain points for this persona]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Overall Value Proposition Statement (Draft):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[Write a concise statement summarizing ComplyAI's unique value]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 Marketing &amp; Communication Plan (Outline)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Key Marketing Channels: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(Brainstorm 3-4 appropriate channels for reaching target personas in financial institutions):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[Channel 1]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[Channel 2]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[Channel 3]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before="0" w:lineRule="auto"/>
        <w:ind w:left="216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[Channel 4 (Optional)]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Key Communication Activities by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Pre-Launch: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(List 1-2 key activities.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Examples: Landing page, whitepaper, targeted emails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3"/>
          <w:numId w:val="7"/>
        </w:numPr>
        <w:spacing w:after="0" w:before="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[Activity]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Launch Day: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(List 1-2 key activities.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Examples: Press release, webinar, ad campaigns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3"/>
          <w:numId w:val="7"/>
        </w:numPr>
        <w:spacing w:after="0" w:before="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[Activity]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Post-Launch (First 3 Months):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(List 1-2 key activities.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Examples: Case studies, testimonials, follow-up campaigns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3"/>
          <w:numId w:val="7"/>
        </w:numPr>
        <w:spacing w:after="240" w:before="0" w:lineRule="auto"/>
        <w:ind w:left="288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[Activity]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4. Sales Enablement Activities (Outline)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(List 1-2 critical materials or activities needed to equip the sales team to effectively sell ComplyAI, considering the target audience.)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[Material/Activity 1]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[Material/Activity 2 (Optional)]</w:t>
        <w:br w:type="textWrapping"/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Standard ComplyAI sales presentation deck; Product demo script guide tailored to financial compliance use cases.)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5. Deployment Strategy (Outline)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(Describe the high-level approach for rolling out ComplyAI, considering security, compliance, and operational needs of financial institutions.)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Deployment Model Options: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specifies options, e.g., Cloud SaaS only, Both Cloud &amp; On-Premise]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Rollout Approach: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specifies approach, e.g., Pilot program with X clients first, Phased geographical rollout, General availability]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Key Considerations: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lists 1-2 key points, e.g., Data security during onboarding, Required integrations]</w:t>
        <w:br w:type="textWrapping"/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Phased cloud rollout starting with a 3-month pilot program for 5 key clients. Explore on-premise option based on pilot feedback.)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6. Compliance &amp; Security Checks (Pre-Launch Verification)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(List 2-3 essential verification steps required before launch, specific to an AI platform handling sensitive financial compliance data.)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befor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[Check 1]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[Check 2]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[Check 3 (Optional)]</w:t>
        <w:br w:type="textWrapping"/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Completion of third-party penetration testing; Verification of compliance with relevant data privacy laws (e.g., GDPR); Validation of AI model fairness and bias checks.)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7. Launch Timeline (High-Level Phases)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(Outline major phases and key milestones relative to the launch date (Week 0). Specific dates are not required.)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Phase: Pre-Launch (-X Months to -1 Month):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1]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2]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Phase: Launch Readiness (-1 Month to Launch Week):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1]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2]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Phase: Launch Week (Week 0):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Activity 1]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Activity 2]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Phase: Post-Launch Monitoring (+1 Month to +3 Months):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1]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[Key Milestone 2]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(-3 Months): Marketing collateral finalized; (-1 Month): Sales trained, Final security audit complete; Launch Week: Public announcement; (+1 Month): First pilot feedback session.)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8. Key Metrics for Success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(List 2-3 specific, measurable metrics that will indicate if the launch achieved its goals (defined in Section 1). Focus on leading indicators where possible.)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Metric 1: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defines metric]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Metric 2: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defines metric]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Metric 3 (Optional):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[Learner defines metric]</w:t>
        <w:br w:type="textWrapping"/>
        <w:br w:type="textWrapping"/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(Example: Number of qualified leads generated (first 60 days); Conversion rate from demo to pilot program participant.)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Fonts w:ascii="Source Sans Pro" w:cs="Source Sans Pro" w:eastAsia="Source Sans Pro" w:hAnsi="Source Sans Pro"/>
      </w:rPr>
      <w:drawing>
        <wp:inline distB="114300" distT="114300" distL="114300" distR="114300">
          <wp:extent cx="950976" cy="13167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976" cy="1316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</w:pPr>
    <w:rPr>
      <w:rFonts w:ascii="Open Sans" w:cs="Open Sans" w:eastAsia="Open Sans" w:hAnsi="Ope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</w:pPr>
    <w:rPr>
      <w:rFonts w:ascii="Open Sans" w:cs="Open Sans" w:eastAsia="Open Sans" w:hAnsi="Ope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tgKz7b/W6I8Ac2JJDWjtJ07kg==">CgMxLjA4AHIhMWd2azlBQ0Z0VUl2UGhxLWZiZC13cmdIODFtaTEtVkRv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