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204b"/>
          <w:sz w:val="40"/>
          <w:szCs w:val="40"/>
          <w:rtl w:val="0"/>
        </w:rPr>
        <w:t xml:space="preserve">CORE AI SOLUTION ARCHITECTURE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color w:val="0078d4"/>
          <w:sz w:val="26"/>
          <w:szCs w:val="26"/>
          <w:rtl w:val="0"/>
        </w:rPr>
        <w:t xml:space="preserve">Meridian Advisory Group — Knowledge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200" w:line="276" w:lineRule="auto"/>
        <w:rPr>
          <w:b w:val="1"/>
          <w:bCs w:val="1"/>
          <w:color w:val="0f204b"/>
          <w:sz w:val="26"/>
          <w:szCs w:val="26"/>
        </w:rPr>
      </w:pPr>
      <w:r w:rsidDel="00000000" w:rsidR="00000000" w:rsidRPr="00000000">
        <w:rPr>
          <w:b w:val="1"/>
          <w:bCs w:val="1"/>
          <w:color w:val="0f204b"/>
          <w:sz w:val="26"/>
          <w:szCs w:val="26"/>
          <w:rtl w:val="0"/>
        </w:rPr>
        <w:t xml:space="preserve">SECTION 1 — SOLUTION OVERVIEW</w:t>
      </w:r>
    </w:p>
    <w:p w:rsidR="00000000" w:rsidDel="00000000" w:rsidP="00000000" w:rsidRDefault="00000000" w:rsidRPr="00000000" w14:paraId="00000005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Write one paragraph (75–100 words) addressing:</w:t>
      </w:r>
    </w:p>
    <w:p w:rsidR="00000000" w:rsidDel="00000000" w:rsidP="00000000" w:rsidRDefault="00000000" w:rsidRPr="00000000" w14:paraId="00000006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The enterprise scenario and business purpose of the platform</w:t>
      </w:r>
    </w:p>
    <w:p w:rsidR="00000000" w:rsidDel="00000000" w:rsidP="00000000" w:rsidRDefault="00000000" w:rsidRPr="00000000" w14:paraId="00000007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The four non-negotiable requirements (100% firm document grounding, practice-area isolation, GDPR/regional data residency, &lt;3s SLA)</w:t>
      </w:r>
    </w:p>
    <w:p w:rsidR="00000000" w:rsidDel="00000000" w:rsidP="00000000" w:rsidRDefault="00000000" w:rsidRPr="00000000" w14:paraId="00000008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The three stakeholder audiences (CTO, DPO, Head of Knowledge Management) and their primary concerns</w:t>
      </w:r>
    </w:p>
    <w:p w:rsidR="00000000" w:rsidDel="00000000" w:rsidP="00000000" w:rsidRDefault="00000000" w:rsidRPr="00000000" w14:paraId="00000009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The scope of this architecture document</w:t>
      </w:r>
    </w:p>
    <w:p w:rsidR="00000000" w:rsidDel="00000000" w:rsidP="00000000" w:rsidRDefault="00000000" w:rsidRPr="00000000" w14:paraId="0000000A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[Insert Solution Overview Draft Here]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0" w:before="200" w:line="276" w:lineRule="auto"/>
        <w:rPr>
          <w:b w:val="1"/>
          <w:bCs w:val="1"/>
          <w:color w:val="0f204b"/>
          <w:sz w:val="26"/>
          <w:szCs w:val="26"/>
        </w:rPr>
      </w:pPr>
      <w:r w:rsidDel="00000000" w:rsidR="00000000" w:rsidRPr="00000000">
        <w:rPr>
          <w:b w:val="1"/>
          <w:bCs w:val="1"/>
          <w:color w:val="0f204b"/>
          <w:sz w:val="26"/>
          <w:szCs w:val="26"/>
          <w:rtl w:val="0"/>
        </w:rPr>
        <w:t xml:space="preserve">SECTION 2 — AZURE OPENAI DEPLOYMENT ARCHITECTURE</w:t>
      </w:r>
    </w:p>
    <w:p w:rsidR="00000000" w:rsidDel="00000000" w:rsidP="00000000" w:rsidRDefault="00000000" w:rsidRPr="00000000" w14:paraId="0000000D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Selected Model and Rationale: [Specify model and precise reasoning]</w:t>
      </w:r>
    </w:p>
    <w:p w:rsidR="00000000" w:rsidDel="00000000" w:rsidP="00000000" w:rsidRDefault="00000000" w:rsidRPr="00000000" w14:paraId="0000000E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Ruled-Out Models and Rationale: [Explicitly rule out alternatives with rationale]</w:t>
      </w:r>
    </w:p>
    <w:p w:rsidR="00000000" w:rsidDel="00000000" w:rsidP="00000000" w:rsidRDefault="00000000" w:rsidRPr="00000000" w14:paraId="0000000F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Deployment Type Configuration: [Provisioned Throughput Units (PTU) vs. Consumption with latency justification]</w:t>
      </w:r>
    </w:p>
    <w:p w:rsidR="00000000" w:rsidDel="00000000" w:rsidP="00000000" w:rsidRDefault="00000000" w:rsidRPr="00000000" w14:paraId="00000010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Quota Strategy: [Capacity and throttling management for 8,000 concurrent users]</w:t>
      </w:r>
    </w:p>
    <w:p w:rsidR="00000000" w:rsidDel="00000000" w:rsidP="00000000" w:rsidRDefault="00000000" w:rsidRPr="00000000" w14:paraId="00000011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Microsoft Foundry Integration: [Integration architecture, data residency, and decision rationale]</w:t>
      </w:r>
    </w:p>
    <w:p w:rsidR="00000000" w:rsidDel="00000000" w:rsidP="00000000" w:rsidRDefault="00000000" w:rsidRPr="00000000" w14:paraId="00000012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[Insert Deployment Architecture Details Here]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0" w:before="200" w:line="276" w:lineRule="auto"/>
        <w:rPr>
          <w:b w:val="1"/>
          <w:bCs w:val="1"/>
          <w:color w:val="0f204b"/>
          <w:sz w:val="26"/>
          <w:szCs w:val="26"/>
        </w:rPr>
      </w:pPr>
      <w:r w:rsidDel="00000000" w:rsidR="00000000" w:rsidRPr="00000000">
        <w:rPr>
          <w:b w:val="1"/>
          <w:bCs w:val="1"/>
          <w:color w:val="0f204b"/>
          <w:sz w:val="26"/>
          <w:szCs w:val="26"/>
          <w:rtl w:val="0"/>
        </w:rPr>
        <w:t xml:space="preserve">SECTION 3 — RAG ARCHITECTURE</w:t>
      </w:r>
    </w:p>
    <w:p w:rsidR="00000000" w:rsidDel="00000000" w:rsidP="00000000" w:rsidRDefault="00000000" w:rsidRPr="00000000" w14:paraId="00000015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Azure AI Search Index Schema Summary: [Key fields, metadata structure, and practice-area filtering field]</w:t>
      </w:r>
    </w:p>
    <w:p w:rsidR="00000000" w:rsidDel="00000000" w:rsidP="00000000" w:rsidRDefault="00000000" w:rsidRPr="00000000" w14:paraId="00000016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Chunking Strategy: [Chunk size, overlap, and rationale based on 120,000-document corpus characteristics]</w:t>
      </w:r>
    </w:p>
    <w:p w:rsidR="00000000" w:rsidDel="00000000" w:rsidP="00000000" w:rsidRDefault="00000000" w:rsidRPr="00000000" w14:paraId="00000017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Embedding Model Selection: [Model choice and vectorization strategy]</w:t>
      </w:r>
    </w:p>
    <w:p w:rsidR="00000000" w:rsidDel="00000000" w:rsidP="00000000" w:rsidRDefault="00000000" w:rsidRPr="00000000" w14:paraId="00000018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Hybrid Retrieval Pipeline Configuration: [Keyword + semantic search configuration and re-ranking approach]</w:t>
      </w:r>
    </w:p>
    <w:p w:rsidR="00000000" w:rsidDel="00000000" w:rsidP="00000000" w:rsidRDefault="00000000" w:rsidRPr="00000000" w14:paraId="00000019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Foundry IQ Grounding Layer Design: [Permission enforcement mechanism for practice-area access control and GDPR data residency enforcement at the retrieval layer]</w:t>
      </w:r>
    </w:p>
    <w:p w:rsidR="00000000" w:rsidDel="00000000" w:rsidP="00000000" w:rsidRDefault="00000000" w:rsidRPr="00000000" w14:paraId="0000001A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[Insert RAG Architecture Details Here]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before="200" w:line="276" w:lineRule="auto"/>
        <w:rPr>
          <w:b w:val="1"/>
          <w:bCs w:val="1"/>
          <w:color w:val="0f204b"/>
          <w:sz w:val="26"/>
          <w:szCs w:val="26"/>
        </w:rPr>
      </w:pPr>
      <w:r w:rsidDel="00000000" w:rsidR="00000000" w:rsidRPr="00000000">
        <w:rPr>
          <w:b w:val="1"/>
          <w:bCs w:val="1"/>
          <w:color w:val="0f204b"/>
          <w:sz w:val="26"/>
          <w:szCs w:val="26"/>
          <w:rtl w:val="0"/>
        </w:rPr>
        <w:t xml:space="preserve">SECTION 4 — SYSTEM PROMPT ARCHITECTURE</w:t>
      </w:r>
    </w:p>
    <w:p w:rsidR="00000000" w:rsidDel="00000000" w:rsidP="00000000" w:rsidRDefault="00000000" w:rsidRPr="00000000" w14:paraId="0000001D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Annotated summary of the four system prompt components:</w:t>
      </w:r>
    </w:p>
    <w:p w:rsidR="00000000" w:rsidDel="00000000" w:rsidP="00000000" w:rsidRDefault="00000000" w:rsidRPr="00000000" w14:paraId="0000001E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Meta-prompt: [Role definition and behavioral scope]</w:t>
      </w:r>
    </w:p>
    <w:p w:rsidR="00000000" w:rsidDel="00000000" w:rsidP="00000000" w:rsidRDefault="00000000" w:rsidRPr="00000000" w14:paraId="0000001F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Safety instructions: [Adversarial pattern handling and refusal conditions]</w:t>
      </w:r>
    </w:p>
    <w:p w:rsidR="00000000" w:rsidDel="00000000" w:rsidP="00000000" w:rsidRDefault="00000000" w:rsidRPr="00000000" w14:paraId="00000020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Grounding directive: [Citation requirement and out-of-context behavior]</w:t>
      </w:r>
    </w:p>
    <w:p w:rsidR="00000000" w:rsidDel="00000000" w:rsidP="00000000" w:rsidRDefault="00000000" w:rsidRPr="00000000" w14:paraId="00000021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Output format specification: [Response schema]</w:t>
      </w:r>
    </w:p>
    <w:p w:rsidR="00000000" w:rsidDel="00000000" w:rsidP="00000000" w:rsidRDefault="00000000" w:rsidRPr="00000000" w14:paraId="00000022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Prompt Library Governance Approach:</w:t>
      </w:r>
    </w:p>
    <w:p w:rsidR="00000000" w:rsidDel="00000000" w:rsidP="00000000" w:rsidRDefault="00000000" w:rsidRPr="00000000" w14:paraId="00000023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[Versioning, testing, and change management procedures]</w:t>
      </w:r>
    </w:p>
    <w:p w:rsidR="00000000" w:rsidDel="00000000" w:rsidP="00000000" w:rsidRDefault="00000000" w:rsidRPr="00000000" w14:paraId="00000024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[Insert System Prompt Architecture Details Here]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0" w:before="200" w:line="276" w:lineRule="auto"/>
        <w:rPr>
          <w:b w:val="1"/>
          <w:bCs w:val="1"/>
          <w:color w:val="0f204b"/>
          <w:sz w:val="26"/>
          <w:szCs w:val="26"/>
        </w:rPr>
      </w:pPr>
      <w:r w:rsidDel="00000000" w:rsidR="00000000" w:rsidRPr="00000000">
        <w:rPr>
          <w:b w:val="1"/>
          <w:bCs w:val="1"/>
          <w:color w:val="0f204b"/>
          <w:sz w:val="26"/>
          <w:szCs w:val="26"/>
          <w:rtl w:val="0"/>
        </w:rPr>
        <w:t xml:space="preserve">SECTION 5 — EVALUATION FRAMEWORK</w:t>
      </w:r>
    </w:p>
    <w:p w:rsidR="00000000" w:rsidDel="00000000" w:rsidP="00000000" w:rsidRDefault="00000000" w:rsidRPr="00000000" w14:paraId="00000027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Metric Set and Defined Thresholds: [Define at least 4 operationalized metrics with thresholds and target stakeholder concern]</w:t>
      </w:r>
    </w:p>
    <w:p w:rsidR="00000000" w:rsidDel="00000000" w:rsidP="00000000" w:rsidRDefault="00000000" w:rsidRPr="00000000" w14:paraId="00000028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Test Dataset Design Summary: [Construction methodology and coverage scope of evaluation dataset]</w:t>
      </w:r>
    </w:p>
    <w:p w:rsidR="00000000" w:rsidDel="00000000" w:rsidP="00000000" w:rsidRDefault="00000000" w:rsidRPr="00000000" w14:paraId="00000029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CI/CD Evaluation Gate Specification: [Execution triggers, deployment block thresholds, and review workflows]</w:t>
      </w:r>
    </w:p>
    <w:p w:rsidR="00000000" w:rsidDel="00000000" w:rsidP="00000000" w:rsidRDefault="00000000" w:rsidRPr="00000000" w14:paraId="0000002A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[Insert Evaluation Framework Details Here]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0" w:before="200" w:line="276" w:lineRule="auto"/>
        <w:rPr>
          <w:b w:val="1"/>
          <w:bCs w:val="1"/>
          <w:color w:val="0f204b"/>
          <w:sz w:val="26"/>
          <w:szCs w:val="26"/>
        </w:rPr>
      </w:pPr>
      <w:r w:rsidDel="00000000" w:rsidR="00000000" w:rsidRPr="00000000">
        <w:rPr>
          <w:b w:val="1"/>
          <w:bCs w:val="1"/>
          <w:color w:val="0f204b"/>
          <w:sz w:val="26"/>
          <w:szCs w:val="26"/>
          <w:rtl w:val="0"/>
        </w:rPr>
        <w:t xml:space="preserve">SECTION 6 — BUILD STRATEGY DECISION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Complete the five-criteria scoring table (Score 1–5; 1 = poor fit, 5 = strong fit):</w:t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0f204b" w:val="clear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b" w:val="clear"/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b" w:val="clear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b" w:val="clear"/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Prompt-Only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b" w:val="clear"/>
          </w:tcPr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Retrieval from external corpus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Attribution and source traceability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GDPR and access control enforcement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Latency under 3 seconds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Maintenance cost at 120,000 documents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Total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• Recommended Strategy and Justification: [State choice based on scoring profile]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Stakeholder-Facing Rationale: [One paragraph written for non-technical stakeholders (for example, Head of KM, DPO) explaining strategy selection and platform behavior]</w:t>
        <w:br w:type="textWrapping"/>
      </w:r>
    </w:p>
    <w:p w:rsidR="00000000" w:rsidDel="00000000" w:rsidP="00000000" w:rsidRDefault="00000000" w:rsidRPr="00000000" w14:paraId="00000053">
      <w:pPr>
        <w:pStyle w:val="Heading2"/>
        <w:spacing w:after="0" w:before="200" w:line="276" w:lineRule="auto"/>
        <w:rPr>
          <w:b w:val="1"/>
          <w:bCs w:val="1"/>
          <w:color w:val="0f204b"/>
          <w:sz w:val="26"/>
          <w:szCs w:val="26"/>
        </w:rPr>
      </w:pPr>
      <w:r w:rsidDel="00000000" w:rsidR="00000000" w:rsidRPr="00000000">
        <w:rPr>
          <w:b w:val="1"/>
          <w:bCs w:val="1"/>
          <w:color w:val="0f204b"/>
          <w:sz w:val="26"/>
          <w:szCs w:val="26"/>
          <w:rtl w:val="0"/>
        </w:rPr>
        <w:t xml:space="preserve">SECTION 7 — ARCHITECTURE DIAGRAM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 your completed architecture diagram below (or attach as a separate PDF/PNG file).</w:t>
        <w:br w:type="textWrapping"/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Requirements Checklist for Diagram: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[ ] All services in solution topology shown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[ ] Data flows between services explicitly labeled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[ ] Integration points between Microsoft Foundry, Azure OpenAI Service, and Azure AI Search depicted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[ ] Security and governance layer indicated (GDPR, data residency, access control enforcement points)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[ ] Practice-area segmentation mapping consultant identity to document access scope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[INSERT DIAGRAM OR LINK HERE]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