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025C4" w14:textId="77777777" w:rsidR="0078687D" w:rsidRDefault="00000000">
      <w:pPr>
        <w:spacing w:after="80"/>
        <w:rPr>
          <w:rFonts w:ascii="Cambria" w:eastAsia="Cambria" w:hAnsi="Cambria" w:cs="Cambria"/>
        </w:rPr>
      </w:pPr>
      <w:r>
        <w:rPr>
          <w:b/>
          <w:bCs/>
          <w:color w:val="002060"/>
          <w:sz w:val="40"/>
          <w:szCs w:val="40"/>
        </w:rPr>
        <w:t>Meridian_Architecture_Diagram_Starter</w:t>
      </w:r>
    </w:p>
    <w:p w14:paraId="32B5B61B" w14:textId="77777777" w:rsidR="0078687D" w:rsidRDefault="00000000">
      <w:pPr>
        <w:spacing w:after="280"/>
        <w:rPr>
          <w:rFonts w:ascii="Cambria" w:eastAsia="Cambria" w:hAnsi="Cambria" w:cs="Cambria"/>
        </w:rPr>
      </w:pPr>
      <w:r>
        <w:rPr>
          <w:i/>
          <w:iCs/>
          <w:color w:val="595959"/>
        </w:rPr>
        <w:t>Blank Topology Canvas Pre-Labeled with Major Service Zones</w:t>
      </w:r>
    </w:p>
    <w:p w14:paraId="001804DA" w14:textId="77777777" w:rsidR="0078687D" w:rsidRDefault="00000000">
      <w:pPr>
        <w:spacing w:after="240"/>
        <w:rPr>
          <w:rFonts w:ascii="Cambria" w:eastAsia="Cambria" w:hAnsi="Cambria" w:cs="Cambria"/>
        </w:rPr>
      </w:pPr>
      <w:r>
        <w:rPr>
          <w:rFonts w:ascii="Cambria" w:eastAsia="Cambria" w:hAnsi="Cambria" w:cs="Cambria"/>
          <w:i/>
          <w:iCs/>
          <w:sz w:val="20"/>
          <w:szCs w:val="20"/>
        </w:rPr>
        <w:t>Instructions:</w:t>
      </w:r>
      <w:r>
        <w:rPr>
          <w:rFonts w:ascii="Cambria" w:eastAsia="Cambria" w:hAnsi="Cambria" w:cs="Cambria"/>
          <w:i/>
          <w:iCs/>
          <w:sz w:val="20"/>
          <w:szCs w:val="20"/>
        </w:rPr>
        <w:br/>
        <w:t>Use this starter topology canvas as your base layout in Draw.io, Lucidchart, or Microsoft Word. Fill in the data flow arrows and details (Steps 1–9) to complete your Core AI Solution Architecture Design.</w:t>
      </w:r>
    </w:p>
    <w:p w14:paraId="347EC6E9" w14:textId="77777777" w:rsidR="0078687D" w:rsidRDefault="00000000">
      <w:pPr>
        <w:spacing w:before="240" w:after="80"/>
        <w:rPr>
          <w:rFonts w:ascii="Cambria" w:eastAsia="Cambria" w:hAnsi="Cambria" w:cs="Cambria"/>
        </w:rPr>
      </w:pPr>
      <w:r>
        <w:rPr>
          <w:b/>
          <w:bCs/>
          <w:color w:val="002060"/>
          <w:sz w:val="26"/>
          <w:szCs w:val="26"/>
        </w:rPr>
        <w:t>Required Service Zones</w:t>
      </w:r>
    </w:p>
    <w:p w14:paraId="7EA19675" w14:textId="77777777" w:rsidR="0078687D" w:rsidRDefault="00000000">
      <w:pPr>
        <w:numPr>
          <w:ilvl w:val="0"/>
          <w:numId w:val="1"/>
        </w:numPr>
        <w:rPr>
          <w:rFonts w:ascii="Noto Sans Symbols" w:eastAsia="Noto Sans Symbols" w:hAnsi="Noto Sans Symbols" w:cs="Noto Sans Symbols"/>
        </w:rPr>
      </w:pPr>
      <w:r>
        <w:rPr>
          <w:rFonts w:ascii="Cambria" w:eastAsia="Cambria" w:hAnsi="Cambria" w:cs="Cambria"/>
          <w:b/>
          <w:bCs/>
          <w:color w:val="002060"/>
        </w:rPr>
        <w:t>1. Consultant Interface (Global UI):</w:t>
      </w:r>
      <w:r>
        <w:rPr>
          <w:rFonts w:ascii="Cambria" w:eastAsia="Cambria" w:hAnsi="Cambria" w:cs="Cambria"/>
        </w:rPr>
        <w:t xml:space="preserve"> Client interface layer outside security boundary</w:t>
      </w:r>
    </w:p>
    <w:p w14:paraId="18160EBA" w14:textId="77777777" w:rsidR="0078687D" w:rsidRDefault="00000000">
      <w:pPr>
        <w:numPr>
          <w:ilvl w:val="0"/>
          <w:numId w:val="1"/>
        </w:numPr>
        <w:rPr>
          <w:rFonts w:ascii="Noto Sans Symbols" w:eastAsia="Noto Sans Symbols" w:hAnsi="Noto Sans Symbols" w:cs="Noto Sans Symbols"/>
        </w:rPr>
      </w:pPr>
      <w:r>
        <w:rPr>
          <w:rFonts w:ascii="Cambria" w:eastAsia="Cambria" w:hAnsi="Cambria" w:cs="Cambria"/>
          <w:b/>
          <w:bCs/>
          <w:color w:val="002060"/>
        </w:rPr>
        <w:t>2. Entra ID:</w:t>
      </w:r>
      <w:r>
        <w:rPr>
          <w:rFonts w:ascii="Cambria" w:eastAsia="Cambria" w:hAnsi="Cambria" w:cs="Cambria"/>
        </w:rPr>
        <w:t xml:space="preserve"> Identity authentication and security claims provider</w:t>
      </w:r>
    </w:p>
    <w:p w14:paraId="213FB1BD" w14:textId="77777777" w:rsidR="0078687D" w:rsidRDefault="00000000">
      <w:pPr>
        <w:numPr>
          <w:ilvl w:val="0"/>
          <w:numId w:val="1"/>
        </w:numPr>
        <w:rPr>
          <w:rFonts w:ascii="Noto Sans Symbols" w:eastAsia="Noto Sans Symbols" w:hAnsi="Noto Sans Symbols" w:cs="Noto Sans Symbols"/>
        </w:rPr>
      </w:pPr>
      <w:r>
        <w:rPr>
          <w:rFonts w:ascii="Cambria" w:eastAsia="Cambria" w:hAnsi="Cambria" w:cs="Cambria"/>
          <w:b/>
          <w:bCs/>
          <w:color w:val="002060"/>
        </w:rPr>
        <w:t>3. Microsoft Foundry IQ Grounding Layer:</w:t>
      </w:r>
      <w:r>
        <w:rPr>
          <w:rFonts w:ascii="Cambria" w:eastAsia="Cambria" w:hAnsi="Cambria" w:cs="Cambria"/>
        </w:rPr>
        <w:t xml:space="preserve"> Security and Governance zone enforcing practice-area filtering</w:t>
      </w:r>
    </w:p>
    <w:p w14:paraId="23927408" w14:textId="77777777" w:rsidR="0078687D" w:rsidRDefault="00000000">
      <w:pPr>
        <w:numPr>
          <w:ilvl w:val="0"/>
          <w:numId w:val="1"/>
        </w:numPr>
        <w:rPr>
          <w:rFonts w:ascii="Noto Sans Symbols" w:eastAsia="Noto Sans Symbols" w:hAnsi="Noto Sans Symbols" w:cs="Noto Sans Symbols"/>
        </w:rPr>
      </w:pPr>
      <w:r>
        <w:rPr>
          <w:rFonts w:ascii="Cambria" w:eastAsia="Cambria" w:hAnsi="Cambria" w:cs="Cambria"/>
          <w:b/>
          <w:bCs/>
          <w:color w:val="002060"/>
        </w:rPr>
        <w:t>4. Azure AI Search:</w:t>
      </w:r>
      <w:r>
        <w:rPr>
          <w:rFonts w:ascii="Cambria" w:eastAsia="Cambria" w:hAnsi="Cambria" w:cs="Cambria"/>
        </w:rPr>
        <w:t xml:space="preserve"> Hybrid vector and BM25 search engine with Semantic Ranker</w:t>
      </w:r>
    </w:p>
    <w:p w14:paraId="447A1E9D" w14:textId="77777777" w:rsidR="0078687D" w:rsidRDefault="00000000">
      <w:pPr>
        <w:numPr>
          <w:ilvl w:val="0"/>
          <w:numId w:val="1"/>
        </w:numPr>
        <w:rPr>
          <w:rFonts w:ascii="Noto Sans Symbols" w:eastAsia="Noto Sans Symbols" w:hAnsi="Noto Sans Symbols" w:cs="Noto Sans Symbols"/>
        </w:rPr>
      </w:pPr>
      <w:r>
        <w:rPr>
          <w:rFonts w:ascii="Cambria" w:eastAsia="Cambria" w:hAnsi="Cambria" w:cs="Cambria"/>
          <w:b/>
          <w:bCs/>
          <w:color w:val="002060"/>
        </w:rPr>
        <w:t>5. Data Storage (Regional):</w:t>
      </w:r>
      <w:r>
        <w:rPr>
          <w:rFonts w:ascii="Cambria" w:eastAsia="Cambria" w:hAnsi="Cambria" w:cs="Cambria"/>
        </w:rPr>
        <w:t xml:space="preserve"> Storage zone housing 120,000 project deliverables</w:t>
      </w:r>
    </w:p>
    <w:p w14:paraId="1BF5405C" w14:textId="77777777" w:rsidR="0078687D" w:rsidRDefault="00000000">
      <w:pPr>
        <w:numPr>
          <w:ilvl w:val="0"/>
          <w:numId w:val="1"/>
        </w:numPr>
        <w:spacing w:after="60"/>
        <w:rPr>
          <w:rFonts w:ascii="Noto Sans Symbols" w:eastAsia="Noto Sans Symbols" w:hAnsi="Noto Sans Symbols" w:cs="Noto Sans Symbols"/>
        </w:rPr>
      </w:pPr>
      <w:r>
        <w:rPr>
          <w:rFonts w:ascii="Cambria" w:eastAsia="Cambria" w:hAnsi="Cambria" w:cs="Cambria"/>
          <w:b/>
          <w:bCs/>
          <w:color w:val="002060"/>
        </w:rPr>
        <w:t>6. Azure OpenAI Service:</w:t>
      </w:r>
      <w:r>
        <w:rPr>
          <w:rFonts w:ascii="Cambria" w:eastAsia="Cambria" w:hAnsi="Cambria" w:cs="Cambria"/>
        </w:rPr>
        <w:t xml:space="preserve"> Model deployment engine (GPT-4o via PTU) under Zero Data Retention</w:t>
      </w:r>
    </w:p>
    <w:p w14:paraId="2AB2BC4D" w14:textId="5FBE7018" w:rsidR="001F407E" w:rsidRDefault="001F407E">
      <w:pPr>
        <w:rPr>
          <w:rFonts w:ascii="Cambria" w:eastAsia="Cambria" w:hAnsi="Cambria" w:cs="Cambria"/>
        </w:rPr>
      </w:pPr>
      <w:r>
        <w:rPr>
          <w:rFonts w:ascii="Cambria" w:eastAsia="Cambria" w:hAnsi="Cambria" w:cs="Cambria"/>
        </w:rPr>
        <w:br w:type="page"/>
      </w:r>
    </w:p>
    <w:p w14:paraId="25EE9643" w14:textId="77777777" w:rsidR="0078687D" w:rsidRDefault="00000000">
      <w:pPr>
        <w:spacing w:before="240" w:after="80"/>
        <w:rPr>
          <w:rFonts w:ascii="Cambria" w:eastAsia="Cambria" w:hAnsi="Cambria" w:cs="Cambria"/>
        </w:rPr>
      </w:pPr>
      <w:r>
        <w:rPr>
          <w:b/>
          <w:bCs/>
          <w:color w:val="002060"/>
          <w:sz w:val="26"/>
          <w:szCs w:val="26"/>
        </w:rPr>
        <w:lastRenderedPageBreak/>
        <w:t>Pre-Labeled Solution Topology Canvas (representative)</w:t>
      </w:r>
    </w:p>
    <w:p w14:paraId="4D075C56" w14:textId="77777777" w:rsidR="0078687D" w:rsidRPr="001F407E" w:rsidRDefault="00000000">
      <w:pPr>
        <w:spacing w:before="160" w:after="240"/>
        <w:ind w:left="144" w:right="144"/>
        <w:rPr>
          <w:rFonts w:ascii="Courier New" w:eastAsia="Courier New" w:hAnsi="Courier New" w:cs="Courier New"/>
          <w:b/>
          <w:bCs/>
          <w:sz w:val="17"/>
          <w:szCs w:val="17"/>
        </w:rPr>
      </w:pPr>
      <w:r w:rsidRPr="001F407E">
        <w:rPr>
          <w:rFonts w:ascii="Courier New" w:eastAsia="Courier New" w:hAnsi="Courier New" w:cs="Courier New"/>
          <w:b/>
          <w:bCs/>
          <w:sz w:val="17"/>
          <w:szCs w:val="17"/>
        </w:rPr>
        <w:t>+---------------------------------------------------------------------------------------------------+</w:t>
      </w:r>
      <w:r w:rsidRPr="001F407E">
        <w:rPr>
          <w:rFonts w:ascii="Courier New" w:eastAsia="Courier New" w:hAnsi="Courier New" w:cs="Courier New"/>
          <w:b/>
          <w:bCs/>
          <w:sz w:val="17"/>
          <w:szCs w:val="17"/>
        </w:rPr>
        <w:br/>
        <w:t>|               STRICT EU DATA RESIDENCY &amp; PRACTICE-AREA BOUNDARY (SWEDEN CENTRAL / WEST EUROPE)    |</w:t>
      </w:r>
      <w:r w:rsidRPr="001F407E">
        <w:rPr>
          <w:rFonts w:ascii="Courier New" w:eastAsia="Courier New" w:hAnsi="Courier New" w:cs="Courier New"/>
          <w:b/>
          <w:bCs/>
          <w:sz w:val="17"/>
          <w:szCs w:val="17"/>
        </w:rPr>
        <w:br/>
        <w:t>|                                                                                                   |</w:t>
      </w:r>
      <w:r w:rsidRPr="001F407E">
        <w:rPr>
          <w:rFonts w:ascii="Courier New" w:eastAsia="Courier New" w:hAnsi="Courier New" w:cs="Courier New"/>
          <w:b/>
          <w:bCs/>
          <w:sz w:val="17"/>
          <w:szCs w:val="17"/>
        </w:rPr>
        <w:br/>
        <w:t>|   +--------------------------+          Step 4: [Filtered Search]       +---------------------+   |</w:t>
      </w:r>
      <w:r w:rsidRPr="001F407E">
        <w:rPr>
          <w:rFonts w:ascii="Courier New" w:eastAsia="Courier New" w:hAnsi="Courier New" w:cs="Courier New"/>
          <w:b/>
          <w:bCs/>
          <w:sz w:val="17"/>
          <w:szCs w:val="17"/>
        </w:rPr>
        <w:br/>
        <w:t>|   |                          | ---------------------------------------&gt; |                     |   |</w:t>
      </w:r>
      <w:r w:rsidRPr="001F407E">
        <w:rPr>
          <w:rFonts w:ascii="Courier New" w:eastAsia="Courier New" w:hAnsi="Courier New" w:cs="Courier New"/>
          <w:b/>
          <w:bCs/>
          <w:sz w:val="17"/>
          <w:szCs w:val="17"/>
        </w:rPr>
        <w:br/>
        <w:t>|   |                          |          Step 6: [Ranked Chunks]         |   Azure AI Search   |   |</w:t>
      </w:r>
      <w:r w:rsidRPr="001F407E">
        <w:rPr>
          <w:rFonts w:ascii="Courier New" w:eastAsia="Courier New" w:hAnsi="Courier New" w:cs="Courier New"/>
          <w:b/>
          <w:bCs/>
          <w:sz w:val="17"/>
          <w:szCs w:val="17"/>
        </w:rPr>
        <w:br/>
        <w:t>|   |                          | &lt;--------------------------------------- |  (Hybrid + Semantic)|   |</w:t>
      </w:r>
      <w:r w:rsidRPr="001F407E">
        <w:rPr>
          <w:rFonts w:ascii="Courier New" w:eastAsia="Courier New" w:hAnsi="Courier New" w:cs="Courier New"/>
          <w:b/>
          <w:bCs/>
          <w:sz w:val="17"/>
          <w:szCs w:val="17"/>
        </w:rPr>
        <w:br/>
        <w:t>|   |                          |                                          +---------------------+   |</w:t>
      </w:r>
      <w:r w:rsidRPr="001F407E">
        <w:rPr>
          <w:rFonts w:ascii="Courier New" w:eastAsia="Courier New" w:hAnsi="Courier New" w:cs="Courier New"/>
          <w:b/>
          <w:bCs/>
          <w:sz w:val="17"/>
          <w:szCs w:val="17"/>
        </w:rPr>
        <w:br/>
        <w:t>|   |                          |                                                     |              |</w:t>
      </w:r>
      <w:r w:rsidRPr="001F407E">
        <w:rPr>
          <w:rFonts w:ascii="Courier New" w:eastAsia="Courier New" w:hAnsi="Courier New" w:cs="Courier New"/>
          <w:b/>
          <w:bCs/>
          <w:sz w:val="17"/>
          <w:szCs w:val="17"/>
        </w:rPr>
        <w:br/>
        <w:t>|   |    Microsoft Foundry IQ  |                                            Step 5: [Fetch Context] |</w:t>
      </w:r>
      <w:r w:rsidRPr="001F407E">
        <w:rPr>
          <w:rFonts w:ascii="Courier New" w:eastAsia="Courier New" w:hAnsi="Courier New" w:cs="Courier New"/>
          <w:b/>
          <w:bCs/>
          <w:sz w:val="17"/>
          <w:szCs w:val="17"/>
        </w:rPr>
        <w:br/>
        <w:t>|   |     Grounding Layer      |                                                     v              |</w:t>
      </w:r>
      <w:r w:rsidRPr="001F407E">
        <w:rPr>
          <w:rFonts w:ascii="Courier New" w:eastAsia="Courier New" w:hAnsi="Courier New" w:cs="Courier New"/>
          <w:b/>
          <w:bCs/>
          <w:sz w:val="17"/>
          <w:szCs w:val="17"/>
        </w:rPr>
        <w:br/>
        <w:t>|   | (Security &amp; Governance)  |                                          +---------------------+   |</w:t>
      </w:r>
      <w:r w:rsidRPr="001F407E">
        <w:rPr>
          <w:rFonts w:ascii="Courier New" w:eastAsia="Courier New" w:hAnsi="Courier New" w:cs="Courier New"/>
          <w:b/>
          <w:bCs/>
          <w:sz w:val="17"/>
          <w:szCs w:val="17"/>
        </w:rPr>
        <w:br/>
        <w:t>|   |                          |                                          | Data Storage        |   |</w:t>
      </w:r>
      <w:r w:rsidRPr="001F407E">
        <w:rPr>
          <w:rFonts w:ascii="Courier New" w:eastAsia="Courier New" w:hAnsi="Courier New" w:cs="Courier New"/>
          <w:b/>
          <w:bCs/>
          <w:sz w:val="17"/>
          <w:szCs w:val="17"/>
        </w:rPr>
        <w:br/>
        <w:t>|   |                          |                                          | (120,000 Docs)      |   |</w:t>
      </w:r>
      <w:r w:rsidRPr="001F407E">
        <w:rPr>
          <w:rFonts w:ascii="Courier New" w:eastAsia="Courier New" w:hAnsi="Courier New" w:cs="Courier New"/>
          <w:b/>
          <w:bCs/>
          <w:sz w:val="17"/>
          <w:szCs w:val="17"/>
        </w:rPr>
        <w:br/>
        <w:t>|   |                          |                                          +---------------------+   |</w:t>
      </w:r>
      <w:r w:rsidRPr="001F407E">
        <w:rPr>
          <w:rFonts w:ascii="Courier New" w:eastAsia="Courier New" w:hAnsi="Courier New" w:cs="Courier New"/>
          <w:b/>
          <w:bCs/>
          <w:sz w:val="17"/>
          <w:szCs w:val="17"/>
        </w:rPr>
        <w:br/>
        <w:t>|   |                          |          Step 7: [Filtered Prompt]                                 |</w:t>
      </w:r>
      <w:r w:rsidRPr="001F407E">
        <w:rPr>
          <w:rFonts w:ascii="Courier New" w:eastAsia="Courier New" w:hAnsi="Courier New" w:cs="Courier New"/>
          <w:b/>
          <w:bCs/>
          <w:sz w:val="17"/>
          <w:szCs w:val="17"/>
        </w:rPr>
        <w:br/>
        <w:t>|   |                          | ---------------------------------------&gt; +---------------------+   |</w:t>
      </w:r>
      <w:r w:rsidRPr="001F407E">
        <w:rPr>
          <w:rFonts w:ascii="Courier New" w:eastAsia="Courier New" w:hAnsi="Courier New" w:cs="Courier New"/>
          <w:b/>
          <w:bCs/>
          <w:sz w:val="17"/>
          <w:szCs w:val="17"/>
        </w:rPr>
        <w:br/>
        <w:t>|   |                          |          Step 8: [Grounded Answer]       | Azure OpenAI Service|   |</w:t>
      </w:r>
      <w:r w:rsidRPr="001F407E">
        <w:rPr>
          <w:rFonts w:ascii="Courier New" w:eastAsia="Courier New" w:hAnsi="Courier New" w:cs="Courier New"/>
          <w:b/>
          <w:bCs/>
          <w:sz w:val="17"/>
          <w:szCs w:val="17"/>
        </w:rPr>
        <w:br/>
        <w:t>|   +--------------------------+ &lt;--------------------------------------- | (GPT-4o via PTU)    |   |</w:t>
      </w:r>
      <w:r w:rsidRPr="001F407E">
        <w:rPr>
          <w:rFonts w:ascii="Courier New" w:eastAsia="Courier New" w:hAnsi="Courier New" w:cs="Courier New"/>
          <w:b/>
          <w:bCs/>
          <w:sz w:val="17"/>
          <w:szCs w:val="17"/>
        </w:rPr>
        <w:br/>
        <w:t>|             ^       |                                                   +---------------------+   |</w:t>
      </w:r>
      <w:r w:rsidRPr="001F407E">
        <w:rPr>
          <w:rFonts w:ascii="Courier New" w:eastAsia="Courier New" w:hAnsi="Courier New" w:cs="Courier New"/>
          <w:b/>
          <w:bCs/>
          <w:sz w:val="17"/>
          <w:szCs w:val="17"/>
        </w:rPr>
        <w:br/>
        <w:t>|     Step 3  |       | Step 9                                                                      |</w:t>
      </w:r>
      <w:r w:rsidRPr="001F407E">
        <w:rPr>
          <w:rFonts w:ascii="Courier New" w:eastAsia="Courier New" w:hAnsi="Courier New" w:cs="Courier New"/>
          <w:b/>
          <w:bCs/>
          <w:sz w:val="17"/>
          <w:szCs w:val="17"/>
        </w:rPr>
        <w:br/>
        <w:t>|     [Query] |       | [Citations]                                                                 |</w:t>
      </w:r>
      <w:r w:rsidRPr="001F407E">
        <w:rPr>
          <w:rFonts w:ascii="Courier New" w:eastAsia="Courier New" w:hAnsi="Courier New" w:cs="Courier New"/>
          <w:b/>
          <w:bCs/>
          <w:sz w:val="17"/>
          <w:szCs w:val="17"/>
        </w:rPr>
        <w:br/>
        <w:t>+-------------|-------|-----------------------------------------------------------------------------+</w:t>
      </w:r>
      <w:r w:rsidRPr="001F407E">
        <w:rPr>
          <w:rFonts w:ascii="Courier New" w:eastAsia="Courier New" w:hAnsi="Courier New" w:cs="Courier New"/>
          <w:b/>
          <w:bCs/>
          <w:sz w:val="17"/>
          <w:szCs w:val="17"/>
        </w:rPr>
        <w:br/>
        <w:t xml:space="preserve">              |       v</w:t>
      </w:r>
      <w:r w:rsidRPr="001F407E">
        <w:rPr>
          <w:rFonts w:ascii="Courier New" w:eastAsia="Courier New" w:hAnsi="Courier New" w:cs="Courier New"/>
          <w:b/>
          <w:bCs/>
          <w:sz w:val="17"/>
          <w:szCs w:val="17"/>
        </w:rPr>
        <w:br/>
        <w:t xml:space="preserve">     +--------------------------+         Step 1: [Auth Request]      +-------------------------+</w:t>
      </w:r>
      <w:r w:rsidRPr="001F407E">
        <w:rPr>
          <w:rFonts w:ascii="Courier New" w:eastAsia="Courier New" w:hAnsi="Courier New" w:cs="Courier New"/>
          <w:b/>
          <w:bCs/>
          <w:sz w:val="17"/>
          <w:szCs w:val="17"/>
        </w:rPr>
        <w:br/>
        <w:t xml:space="preserve">     |   Consultant Interface   | ----------------------------------&gt; |        Entra ID         |</w:t>
      </w:r>
      <w:r w:rsidRPr="001F407E">
        <w:rPr>
          <w:rFonts w:ascii="Courier New" w:eastAsia="Courier New" w:hAnsi="Courier New" w:cs="Courier New"/>
          <w:b/>
          <w:bCs/>
          <w:sz w:val="17"/>
          <w:szCs w:val="17"/>
        </w:rPr>
        <w:br/>
        <w:t xml:space="preserve">     |        (Global UI)       | &lt;---------------------------------- |   (Identity &amp; Claims)   |</w:t>
      </w:r>
      <w:r w:rsidRPr="001F407E">
        <w:rPr>
          <w:rFonts w:ascii="Courier New" w:eastAsia="Courier New" w:hAnsi="Courier New" w:cs="Courier New"/>
          <w:b/>
          <w:bCs/>
          <w:sz w:val="17"/>
          <w:szCs w:val="17"/>
        </w:rPr>
        <w:br/>
        <w:t xml:space="preserve">     +--------------------------+         Step 2: [JWT Token]         +-------------------------+</w:t>
      </w:r>
    </w:p>
    <w:p w14:paraId="50FA5585" w14:textId="77777777" w:rsidR="0078687D" w:rsidRDefault="00000000">
      <w:pPr>
        <w:spacing w:before="160" w:after="240"/>
        <w:ind w:left="144" w:right="144"/>
        <w:rPr>
          <w:rFonts w:ascii="Courier New" w:eastAsia="Courier New" w:hAnsi="Courier New" w:cs="Courier New"/>
          <w:color w:val="002060"/>
          <w:sz w:val="16"/>
          <w:szCs w:val="16"/>
        </w:rPr>
      </w:pPr>
      <w:r>
        <w:rPr>
          <w:rFonts w:ascii="Courier New" w:eastAsia="Courier New" w:hAnsi="Courier New" w:cs="Courier New"/>
          <w:noProof/>
          <w:color w:val="002060"/>
          <w:sz w:val="16"/>
          <w:szCs w:val="16"/>
        </w:rPr>
        <w:lastRenderedPageBreak/>
        <w:drawing>
          <wp:inline distT="114300" distB="114300" distL="114300" distR="114300" wp14:anchorId="239A5979" wp14:editId="73673EE3">
            <wp:extent cx="5943600" cy="3543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543300"/>
                    </a:xfrm>
                    <a:prstGeom prst="rect">
                      <a:avLst/>
                    </a:prstGeom>
                    <a:ln/>
                  </pic:spPr>
                </pic:pic>
              </a:graphicData>
            </a:graphic>
          </wp:inline>
        </w:drawing>
      </w:r>
    </w:p>
    <w:p w14:paraId="2EAFA6AF" w14:textId="77777777" w:rsidR="0078687D" w:rsidRDefault="0078687D"/>
    <w:sectPr w:rsidR="0078687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950DF1F-3DCA-4A21-9C8F-1628FBD38229}"/>
    <w:embedBold r:id="rId2" w:fontKey="{14FF66FE-FCF0-46AC-83FA-87331236F645}"/>
    <w:embedItalic r:id="rId3" w:fontKey="{B925AD5F-74FD-462C-A4D8-3DD594813E59}"/>
  </w:font>
  <w:font w:name="Noto Sans Symbols">
    <w:charset w:val="00"/>
    <w:family w:val="auto"/>
    <w:pitch w:val="default"/>
    <w:embedRegular r:id="rId4" w:fontKey="{93584C31-D5C3-4C72-9E0D-A8C92921502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D60503DF-D688-4938-A05B-683FECD813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F42AA"/>
    <w:multiLevelType w:val="multilevel"/>
    <w:tmpl w:val="45D697EC"/>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852912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87D"/>
    <w:rsid w:val="001F407E"/>
    <w:rsid w:val="00730464"/>
    <w:rsid w:val="00786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D1EA0"/>
  <w15:docId w15:val="{2E56F4A0-B9EE-4D1A-99DD-4CAA7F022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Kaushik Chatterjee</cp:lastModifiedBy>
  <cp:revision>2</cp:revision>
  <dcterms:created xsi:type="dcterms:W3CDTF">2026-09-21T03:09:00Z</dcterms:created>
  <dcterms:modified xsi:type="dcterms:W3CDTF">2026-09-21T03:10:00Z</dcterms:modified>
</cp:coreProperties>
</file>