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200"/>
        <w:jc w:val="center"/>
      </w:pPr>
      <w:r>
        <w:rPr>
          <w:rFonts w:ascii="Arial" w:cs="Arial" w:eastAsia="Arial" w:hAnsi="Arial"/>
          <w:b/>
          <w:bCs/>
          <w:color w:val="1F4E79"/>
          <w:sz w:val="40"/>
          <w:szCs w:val="40"/>
        </w:rPr>
        <w:t xml:space="preserve">Healthcare Data Governance and Security System</w:t>
      </w:r>
    </w:p>
    <w:p>
      <w:pPr>
        <w:spacing w:after="80"/>
        <w:jc w:val="center"/>
      </w:pPr>
      <w:r>
        <w:rPr>
          <w:rFonts w:ascii="Arial" w:cs="Arial" w:eastAsia="Arial" w:hAnsi="Arial"/>
          <w:b/>
          <w:bCs/>
          <w:color w:val="2E75B6"/>
          <w:sz w:val="30"/>
          <w:szCs w:val="30"/>
        </w:rPr>
        <w:t xml:space="preserve">Area 1: Healthcare Data Security Architecture</w:t>
      </w:r>
    </w:p>
    <w:p>
      <w:pPr>
        <w:spacing w:after="80"/>
        <w:jc w:val="center"/>
      </w:pPr>
      <w:r>
        <w:rPr>
          <w:rFonts w:ascii="Arial" w:cs="Arial" w:eastAsia="Arial" w:hAnsi="Arial"/>
          <w:i/>
          <w:iCs/>
          <w:color w:val="595959"/>
          <w:sz w:val="22"/>
          <w:szCs w:val="22"/>
        </w:rPr>
        <w:t xml:space="preserve">Academic Medical Center — International Collaboration Scenario</w:t>
      </w:r>
    </w:p>
    <w:p>
      <w:pPr>
        <w:spacing w:after="300"/>
        <w:jc w:val="center"/>
      </w:pPr>
      <w:r>
        <w:rPr>
          <w:rFonts w:ascii="Arial" w:cs="Arial" w:eastAsia="Arial" w:hAnsi="Arial"/>
          <w:color w:val="595959"/>
          <w:sz w:val="20"/>
          <w:szCs w:val="20"/>
        </w:rPr>
        <w:t xml:space="preserve">Lead Healthcare Data Security Architect | March 2026</w:t>
      </w:r>
    </w:p>
    <w:p>
      <w:pPr>
        <w:pStyle w:val="Heading1"/>
      </w:pPr>
      <w:r>
        <w:rPr>
          <w:rFonts w:ascii="Arial" w:cs="Arial" w:eastAsia="Arial" w:hAnsi="Arial"/>
          <w:b/>
          <w:bCs/>
          <w:color w:val="1F4E79"/>
          <w:sz w:val="32"/>
          <w:szCs w:val="32"/>
        </w:rPr>
        <w:t xml:space="preserve">1. Current-State Environment, Risks, and Gaps</w:t>
      </w:r>
    </w:p>
    <w:p>
      <w:pPr>
        <w:spacing w:after="140"/>
      </w:pPr>
      <w:r>
        <w:rPr>
          <w:rFonts w:ascii="Arial" w:cs="Arial" w:eastAsia="Arial" w:hAnsi="Arial"/>
          <w:sz w:val="22"/>
          <w:szCs w:val="22"/>
        </w:rPr>
        <w:t xml:space="preserve">The organization is a university hospital engaged in active global research partnerships, sharing clinical and research data with institutions across North America, Europe, and Asia. While these collaborations accelerate discovery, the current data environment presents severe security and compliance vulnerabilities that must be urgently addressed before the planned digital transformation.</w:t>
      </w:r>
    </w:p>
    <w:p>
      <w:pPr>
        <w:pStyle w:val="Heading2"/>
      </w:pPr>
      <w:r>
        <w:rPr>
          <w:rFonts w:ascii="Arial" w:cs="Arial" w:eastAsia="Arial" w:hAnsi="Arial"/>
          <w:b/>
          <w:bCs/>
          <w:color w:val="2E75B6"/>
          <w:sz w:val="26"/>
          <w:szCs w:val="26"/>
        </w:rPr>
        <w:t xml:space="preserve">1.1 Current-State Profile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600"/>
        <w:gridCol w:w="57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Dimension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Current State</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Data Sharing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De-identified datasets emailed and shared via Dropbox/OneDrive with international researchers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De-identification Quality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Datasets retain dates of birth — failing Safe Harbor standard; re-identification risk is high</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Storage Infrastructure</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Personal cloud drives (non-enterprise); no centralized governance or DLP controls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AI/ML Oversight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formal oversight or documentation for AI model training data; provenance unknown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Access Controls</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Inconsistent; researchers retain access after project completion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Audit &amp; Monitoring</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No centralized logging; no anomaly detection or breach detection capability</w:t>
            </w:r>
          </w:p>
        </w:tc>
      </w:tr>
    </w:tbl>
    <w:p>
      <w:r>
        <w:t xml:space="preserve"/>
      </w:r>
    </w:p>
    <w:p>
      <w:pPr>
        <w:pStyle w:val="Heading2"/>
      </w:pPr>
      <w:r>
        <w:rPr>
          <w:rFonts w:ascii="Arial" w:cs="Arial" w:eastAsia="Arial" w:hAnsi="Arial"/>
          <w:b/>
          <w:bCs/>
          <w:color w:val="2E75B6"/>
          <w:sz w:val="26"/>
          <w:szCs w:val="26"/>
        </w:rPr>
        <w:t xml:space="preserve">1.2 Key Risks and Compliance Gaps</w:t>
      </w:r>
    </w:p>
    <w:p>
      <w:pPr>
        <w:pStyle w:val="ListParagraph"/>
        <w:numPr>
          <w:ilvl w:val="0"/>
          <w:numId w:val="2"/>
        </w:numPr>
        <w:spacing w:after="80"/>
      </w:pPr>
      <w:r>
        <w:rPr>
          <w:rFonts w:ascii="Arial" w:cs="Arial" w:eastAsia="Arial" w:hAnsi="Arial"/>
          <w:sz w:val="22"/>
          <w:szCs w:val="22"/>
        </w:rPr>
        <w:t xml:space="preserve">HIPAA Violation: PHI (dates of birth) present in distributed 'de-identified' datasets — constitutes unauthorized disclosure of protected health information.</w:t>
      </w:r>
    </w:p>
    <w:p>
      <w:pPr>
        <w:pStyle w:val="ListParagraph"/>
        <w:numPr>
          <w:ilvl w:val="0"/>
          <w:numId w:val="2"/>
        </w:numPr>
        <w:spacing w:after="80"/>
      </w:pPr>
      <w:r>
        <w:rPr>
          <w:rFonts w:ascii="Arial" w:cs="Arial" w:eastAsia="Arial" w:hAnsi="Arial"/>
          <w:sz w:val="22"/>
          <w:szCs w:val="22"/>
        </w:rPr>
        <w:t xml:space="preserve">GDPR Non-Compliance: Data transferred to EU-based collaborators without Data Processing Agreements (DPAs), Standard Contractual Clauses (SCCs), or adequacy decisions.</w:t>
      </w:r>
    </w:p>
    <w:p>
      <w:pPr>
        <w:pStyle w:val="ListParagraph"/>
        <w:numPr>
          <w:ilvl w:val="0"/>
          <w:numId w:val="2"/>
        </w:numPr>
        <w:spacing w:after="80"/>
      </w:pPr>
      <w:r>
        <w:rPr>
          <w:rFonts w:ascii="Arial" w:cs="Arial" w:eastAsia="Arial" w:hAnsi="Arial"/>
          <w:sz w:val="22"/>
          <w:szCs w:val="22"/>
        </w:rPr>
        <w:t xml:space="preserve">Data Loss Prevention Failure: Researchers uploading data to personal Dropbox and OneDrive accounts circumvents all institutional security controls.</w:t>
      </w:r>
    </w:p>
    <w:p>
      <w:pPr>
        <w:pStyle w:val="ListParagraph"/>
        <w:numPr>
          <w:ilvl w:val="0"/>
          <w:numId w:val="2"/>
        </w:numPr>
        <w:spacing w:after="80"/>
      </w:pPr>
      <w:r>
        <w:rPr>
          <w:rFonts w:ascii="Arial" w:cs="Arial" w:eastAsia="Arial" w:hAnsi="Arial"/>
          <w:sz w:val="22"/>
          <w:szCs w:val="22"/>
        </w:rPr>
        <w:t xml:space="preserve">AI Governance Gap: No IRB review, data provenance tracking, or consent validation for training datasets used in clinical AI models.</w:t>
      </w:r>
    </w:p>
    <w:p>
      <w:pPr>
        <w:pStyle w:val="ListParagraph"/>
        <w:numPr>
          <w:ilvl w:val="0"/>
          <w:numId w:val="2"/>
        </w:numPr>
        <w:spacing w:after="80"/>
      </w:pPr>
      <w:r>
        <w:rPr>
          <w:rFonts w:ascii="Arial" w:cs="Arial" w:eastAsia="Arial" w:hAnsi="Arial"/>
          <w:sz w:val="22"/>
          <w:szCs w:val="22"/>
        </w:rPr>
        <w:t xml:space="preserve">Access Creep: No automated deprovisioning of researcher access upon project completion.</w:t>
      </w:r>
    </w:p>
    <w:p>
      <w:pPr>
        <w:pStyle w:val="ListParagraph"/>
        <w:numPr>
          <w:ilvl w:val="0"/>
          <w:numId w:val="2"/>
        </w:numPr>
        <w:spacing w:after="80"/>
      </w:pPr>
      <w:r>
        <w:rPr>
          <w:rFonts w:ascii="Arial" w:cs="Arial" w:eastAsia="Arial" w:hAnsi="Arial"/>
          <w:sz w:val="22"/>
          <w:szCs w:val="22"/>
        </w:rPr>
        <w:t xml:space="preserve">Audit Deficiency: Absence of centralized audit logs prevents breach detection and regulatory investigation support.</w:t>
      </w:r>
    </w:p>
    <w:p>
      <w:r>
        <w:t xml:space="preserve"/>
      </w:r>
    </w:p>
    <w:p>
      <w:pPr>
        <w:pStyle w:val="Heading1"/>
      </w:pPr>
      <w:r>
        <w:rPr>
          <w:rFonts w:ascii="Arial" w:cs="Arial" w:eastAsia="Arial" w:hAnsi="Arial"/>
          <w:b/>
          <w:bCs/>
          <w:color w:val="1F4E79"/>
          <w:sz w:val="32"/>
          <w:szCs w:val="32"/>
        </w:rPr>
        <w:t xml:space="preserve">2. Target-State Architecture</w:t>
      </w:r>
    </w:p>
    <w:p>
      <w:pPr>
        <w:spacing w:after="140"/>
      </w:pPr>
      <w:r>
        <w:rPr>
          <w:rFonts w:ascii="Arial" w:cs="Arial" w:eastAsia="Arial" w:hAnsi="Arial"/>
          <w:sz w:val="22"/>
          <w:szCs w:val="22"/>
        </w:rPr>
        <w:t xml:space="preserve">The target-state architecture implements a Zero Trust security model across all data tiers, replacing ad hoc sharing with a governed, encrypted, and audited data platform built on Microsoft Azure Health Data Services. Every access decision is continuously validated; no implicit trust is granted based on network location or user role alone.</w:t>
      </w:r>
    </w:p>
    <w:p>
      <w:pPr>
        <w:pStyle w:val="Heading2"/>
      </w:pPr>
      <w:r>
        <w:rPr>
          <w:rFonts w:ascii="Arial" w:cs="Arial" w:eastAsia="Arial" w:hAnsi="Arial"/>
          <w:b/>
          <w:bCs/>
          <w:color w:val="2E75B6"/>
          <w:sz w:val="26"/>
          <w:szCs w:val="26"/>
        </w:rPr>
        <w:t xml:space="preserve">2.1 Network Segmentation</w:t>
      </w:r>
    </w:p>
    <w:p>
      <w:pPr>
        <w:spacing w:after="140"/>
      </w:pPr>
      <w:r>
        <w:rPr>
          <w:rFonts w:ascii="Arial" w:cs="Arial" w:eastAsia="Arial" w:hAnsi="Arial"/>
          <w:sz w:val="22"/>
          <w:szCs w:val="22"/>
        </w:rPr>
        <w:t xml:space="preserve">The architecture deploys a multi-zone network topology within Azure, enforcing strict boundaries between clinical, research, and administrative environments:</w:t>
      </w:r>
    </w:p>
    <w:p>
      <w:pPr>
        <w:pStyle w:val="ListParagraph"/>
        <w:numPr>
          <w:ilvl w:val="0"/>
          <w:numId w:val="2"/>
        </w:numPr>
        <w:spacing w:after="80"/>
      </w:pPr>
      <w:r>
        <w:rPr>
          <w:rFonts w:ascii="Arial" w:cs="Arial" w:eastAsia="Arial" w:hAnsi="Arial"/>
          <w:sz w:val="22"/>
          <w:szCs w:val="22"/>
        </w:rPr>
        <w:t xml:space="preserve">Perimeter Layer: Azure Front Door with Web Application Firewall (WAF) handles all external traffic. DDoS Protection Standard is applied at the public IP tier.</w:t>
      </w:r>
    </w:p>
    <w:p>
      <w:pPr>
        <w:pStyle w:val="ListParagraph"/>
        <w:numPr>
          <w:ilvl w:val="0"/>
          <w:numId w:val="2"/>
        </w:numPr>
        <w:spacing w:after="80"/>
      </w:pPr>
      <w:r>
        <w:rPr>
          <w:rFonts w:ascii="Arial" w:cs="Arial" w:eastAsia="Arial" w:hAnsi="Arial"/>
          <w:sz w:val="22"/>
          <w:szCs w:val="22"/>
        </w:rPr>
        <w:t xml:space="preserve">Clinical Zone (Restricted): Houses Azure Health Data Services (FHIR, DICOM, IoT Connector). Access is restricted to private endpoints only — no public internet access. Network Security Groups (NSGs) enforce inbound/outbound rules by service and port.</w:t>
      </w:r>
    </w:p>
    <w:p>
      <w:pPr>
        <w:pStyle w:val="ListParagraph"/>
        <w:numPr>
          <w:ilvl w:val="0"/>
          <w:numId w:val="2"/>
        </w:numPr>
        <w:spacing w:after="80"/>
      </w:pPr>
      <w:r>
        <w:rPr>
          <w:rFonts w:ascii="Arial" w:cs="Arial" w:eastAsia="Arial" w:hAnsi="Arial"/>
          <w:sz w:val="22"/>
          <w:szCs w:val="22"/>
        </w:rPr>
        <w:t xml:space="preserve">Research Zone (Controlled): Azure Data Lake Storage Gen2 with hierarchical namespace, accessible only through Azure Private Endpoints within the research virtual network (VNet). No direct internet egress is permitted from this zone.</w:t>
      </w:r>
    </w:p>
    <w:p>
      <w:pPr>
        <w:pStyle w:val="ListParagraph"/>
        <w:numPr>
          <w:ilvl w:val="0"/>
          <w:numId w:val="2"/>
        </w:numPr>
        <w:spacing w:after="80"/>
      </w:pPr>
      <w:r>
        <w:rPr>
          <w:rFonts w:ascii="Arial" w:cs="Arial" w:eastAsia="Arial" w:hAnsi="Arial"/>
          <w:sz w:val="22"/>
          <w:szCs w:val="22"/>
        </w:rPr>
        <w:t xml:space="preserve">Administrative Zone: Azure Active Directory and governance tooling. Separated from clinical and research zones via VNet peering with explicit route tables.</w:t>
      </w:r>
    </w:p>
    <w:p>
      <w:pPr>
        <w:pStyle w:val="ListParagraph"/>
        <w:numPr>
          <w:ilvl w:val="0"/>
          <w:numId w:val="2"/>
        </w:numPr>
        <w:spacing w:after="80"/>
      </w:pPr>
      <w:r>
        <w:rPr>
          <w:rFonts w:ascii="Arial" w:cs="Arial" w:eastAsia="Arial" w:hAnsi="Arial"/>
          <w:sz w:val="22"/>
          <w:szCs w:val="22"/>
        </w:rPr>
        <w:t xml:space="preserve">DMZ/Integration Layer: Azure API Management acts as the integration gateway, enforcing OAuth 2.0 and mutual TLS for all external research API calls, including international FHIR data exchange.</w:t>
      </w:r>
    </w:p>
    <w:p>
      <w:r>
        <w:t xml:space="preserve"/>
      </w:r>
    </w:p>
    <w:p>
      <w:pPr>
        <w:pStyle w:val="Heading2"/>
      </w:pPr>
      <w:r>
        <w:rPr>
          <w:rFonts w:ascii="Arial" w:cs="Arial" w:eastAsia="Arial" w:hAnsi="Arial"/>
          <w:b/>
          <w:bCs/>
          <w:color w:val="2E75B6"/>
          <w:sz w:val="26"/>
          <w:szCs w:val="26"/>
        </w:rPr>
        <w:t xml:space="preserve">2.2 Identity and Access Management</w:t>
      </w:r>
    </w:p>
    <w:p>
      <w:pPr>
        <w:spacing w:after="140"/>
      </w:pPr>
      <w:r>
        <w:rPr>
          <w:rFonts w:ascii="Arial" w:cs="Arial" w:eastAsia="Arial" w:hAnsi="Arial"/>
          <w:sz w:val="22"/>
          <w:szCs w:val="22"/>
        </w:rPr>
        <w:t xml:space="preserve">Microsoft Entra ID (formerly Azure AD) serves as the identity fabric for all users — clinical staff, researchers, administrators, and external collaborators:</w:t>
      </w:r>
    </w:p>
    <w:p>
      <w:pPr>
        <w:pStyle w:val="ListParagraph"/>
        <w:numPr>
          <w:ilvl w:val="0"/>
          <w:numId w:val="2"/>
        </w:numPr>
        <w:spacing w:after="80"/>
      </w:pPr>
      <w:r>
        <w:rPr>
          <w:rFonts w:ascii="Arial" w:cs="Arial" w:eastAsia="Arial" w:hAnsi="Arial"/>
          <w:sz w:val="22"/>
          <w:szCs w:val="22"/>
        </w:rPr>
        <w:t xml:space="preserve">Role-Based Access Control (RBAC): Granular roles defined per data tier (Clinical Reader, Research Analyst, Data Curator, System Administrator). Least privilege is enforced; no standing elevated permissions.</w:t>
      </w:r>
    </w:p>
    <w:p>
      <w:pPr>
        <w:pStyle w:val="ListParagraph"/>
        <w:numPr>
          <w:ilvl w:val="0"/>
          <w:numId w:val="2"/>
        </w:numPr>
        <w:spacing w:after="80"/>
      </w:pPr>
      <w:r>
        <w:rPr>
          <w:rFonts w:ascii="Arial" w:cs="Arial" w:eastAsia="Arial" w:hAnsi="Arial"/>
          <w:sz w:val="22"/>
          <w:szCs w:val="22"/>
        </w:rPr>
        <w:t xml:space="preserve">Privileged Identity Management (PIM): Just-in-time (JIT) elevation for administrative actions, with mandatory approval workflows and time-bounded access windows.</w:t>
      </w:r>
    </w:p>
    <w:p>
      <w:pPr>
        <w:pStyle w:val="ListParagraph"/>
        <w:numPr>
          <w:ilvl w:val="0"/>
          <w:numId w:val="2"/>
        </w:numPr>
        <w:spacing w:after="80"/>
      </w:pPr>
      <w:r>
        <w:rPr>
          <w:rFonts w:ascii="Arial" w:cs="Arial" w:eastAsia="Arial" w:hAnsi="Arial"/>
          <w:sz w:val="22"/>
          <w:szCs w:val="22"/>
        </w:rPr>
        <w:t xml:space="preserve">Conditional Access Policies: Device compliance checks, location-based controls, and MFA enforcement. Unmanaged personal devices are blocked from clinical and research zones.</w:t>
      </w:r>
    </w:p>
    <w:p>
      <w:pPr>
        <w:pStyle w:val="ListParagraph"/>
        <w:numPr>
          <w:ilvl w:val="0"/>
          <w:numId w:val="2"/>
        </w:numPr>
        <w:spacing w:after="80"/>
      </w:pPr>
      <w:r>
        <w:rPr>
          <w:rFonts w:ascii="Arial" w:cs="Arial" w:eastAsia="Arial" w:hAnsi="Arial"/>
          <w:sz w:val="22"/>
          <w:szCs w:val="22"/>
        </w:rPr>
        <w:t xml:space="preserve">External Collaborator Access: B2B federation via Entra External Identities. International researchers access data through governed research portals — never via personal cloud drives. Access is scoped to specific projects and auto-expires upon project closure.</w:t>
      </w:r>
    </w:p>
    <w:p>
      <w:pPr>
        <w:pStyle w:val="ListParagraph"/>
        <w:numPr>
          <w:ilvl w:val="0"/>
          <w:numId w:val="2"/>
        </w:numPr>
        <w:spacing w:after="80"/>
      </w:pPr>
      <w:r>
        <w:rPr>
          <w:rFonts w:ascii="Arial" w:cs="Arial" w:eastAsia="Arial" w:hAnsi="Arial"/>
          <w:sz w:val="22"/>
          <w:szCs w:val="22"/>
        </w:rPr>
        <w:t xml:space="preserve">Automated Deprovisioning: Azure Logic Apps trigger access revocation upon project end-date or HR system offboarding events.</w:t>
      </w:r>
    </w:p>
    <w:p>
      <w:r>
        <w:t xml:space="preserve"/>
      </w:r>
    </w:p>
    <w:p>
      <w:pPr>
        <w:pStyle w:val="Heading2"/>
      </w:pPr>
      <w:r>
        <w:rPr>
          <w:rFonts w:ascii="Arial" w:cs="Arial" w:eastAsia="Arial" w:hAnsi="Arial"/>
          <w:b/>
          <w:bCs/>
          <w:color w:val="2E75B6"/>
          <w:sz w:val="26"/>
          <w:szCs w:val="26"/>
        </w:rPr>
        <w:t xml:space="preserve">2.3 Encryption Hierarchy</w:t>
      </w:r>
    </w:p>
    <w:p>
      <w:pPr>
        <w:spacing w:after="140"/>
      </w:pPr>
      <w:r>
        <w:rPr>
          <w:rFonts w:ascii="Arial" w:cs="Arial" w:eastAsia="Arial" w:hAnsi="Arial"/>
          <w:sz w:val="22"/>
          <w:szCs w:val="22"/>
        </w:rPr>
        <w:t xml:space="preserve">A layered encryption model is implemented using Azure Key Vault with Hardware Security Module (HSM) backing:</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6360"/>
      </w:tblGrid>
      <w:tr>
        <w:tc>
          <w:tcPr>
            <w:tcW w:type="dxa" w:w="3600"/>
            <w:tcBorders>
              <w:top w:val="single" w:color="CCCCCC" w:sz="1"/>
              <w:left w:val="single" w:color="CCCCCC" w:sz="1"/>
              <w:bottom w:val="single" w:color="CCCCCC" w:sz="1"/>
              <w:right w:val="single" w:color="CCCCCC" w:sz="1"/>
            </w:tcBorders>
            <w:shd w:fill="D6E4F0" w:val="clear"/>
            <w:tcMar>
              <w:top w:type="dxa" w:w="80"/>
              <w:left w:type="dxa" w:w="120"/>
              <w:bottom w:type="dxa" w:w="80"/>
              <w:right w:type="dxa" w:w="120"/>
            </w:tcMar>
          </w:tcPr>
          <w:p>
            <w:r>
              <w:rPr>
                <w:rFonts w:ascii="Arial" w:cs="Arial" w:eastAsia="Arial" w:hAnsi="Arial"/>
                <w:b/>
                <w:bCs/>
                <w:sz w:val="20"/>
                <w:szCs w:val="20"/>
              </w:rPr>
              <w:t xml:space="preserve">Encryption Layer</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Implementation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 Rest — Clinical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AES-256 encryption on FHIR and DICOM services; Customer-Managed Keys (CMK) stored in Azure Key Vault HSM</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At Rest — Research Data</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Azure Data Lake Storage Gen2 encrypted with CMK; separate key per research project for data isolation</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In Transit</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TLS 1.3 enforced for all API communications; certificate pinning for critical service endpoints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Rotation</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Automated 90-day rotation policy enforced via Key Vault rotation policies; rotation events logged to Log Analytics</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Key Hierarchy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Root Key (HSM) → Data Encryption Keys (DEK) → per-dataset encryption; key escrow policy documented</w:t>
            </w:r>
          </w:p>
        </w:tc>
      </w:tr>
      <w:tr>
        <w:tc>
          <w:tcPr>
            <w:tcW w:type="dxa" w:w="36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b/>
                <w:bCs/>
                <w:sz w:val="20"/>
                <w:szCs w:val="20"/>
              </w:rPr>
              <w:t xml:space="preserve">Backup &amp; Recovery</w:t>
            </w:r>
          </w:p>
        </w:tc>
        <w:tc>
          <w:tcPr>
            <w:tcW w:type="dxa" w:w="57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Key Vault geo-redundant backup; recovery SLA of 4 hours for key restoration</w:t>
            </w:r>
          </w:p>
        </w:tc>
      </w:tr>
    </w:tbl>
    <w:p>
      <w:r>
        <w:t xml:space="preserve"/>
      </w:r>
    </w:p>
    <w:p>
      <w:pPr>
        <w:pStyle w:val="Heading2"/>
      </w:pPr>
      <w:r>
        <w:rPr>
          <w:rFonts w:ascii="Arial" w:cs="Arial" w:eastAsia="Arial" w:hAnsi="Arial"/>
          <w:b/>
          <w:bCs/>
          <w:color w:val="2E75B6"/>
          <w:sz w:val="26"/>
          <w:szCs w:val="26"/>
        </w:rPr>
        <w:t xml:space="preserve">2.4 Secure Data Flows</w:t>
      </w:r>
    </w:p>
    <w:p>
      <w:pPr>
        <w:spacing w:after="140"/>
      </w:pPr>
      <w:r>
        <w:rPr>
          <w:rFonts w:ascii="Arial" w:cs="Arial" w:eastAsia="Arial" w:hAnsi="Arial"/>
          <w:sz w:val="22"/>
          <w:szCs w:val="22"/>
        </w:rPr>
        <w:t xml:space="preserve">Data ingestion, processing, and research access follow strictly governed pathways:</w:t>
      </w:r>
    </w:p>
    <w:p>
      <w:pPr>
        <w:pStyle w:val="ListParagraph"/>
        <w:numPr>
          <w:ilvl w:val="0"/>
          <w:numId w:val="2"/>
        </w:numPr>
        <w:spacing w:after="80"/>
      </w:pPr>
      <w:r>
        <w:rPr>
          <w:rFonts w:ascii="Arial" w:cs="Arial" w:eastAsia="Arial" w:hAnsi="Arial"/>
          <w:sz w:val="22"/>
          <w:szCs w:val="22"/>
        </w:rPr>
        <w:t xml:space="preserve">Ingestion Path: Clinical systems (EHR, PACS, medical devices) → Azure Event Hub / IoT Hub → FHIR/DICOM Conversion Service → Azure Health Data Services → encrypted at-rest storage.</w:t>
      </w:r>
    </w:p>
    <w:p>
      <w:pPr>
        <w:pStyle w:val="ListParagraph"/>
        <w:numPr>
          <w:ilvl w:val="0"/>
          <w:numId w:val="2"/>
        </w:numPr>
        <w:spacing w:after="80"/>
      </w:pPr>
      <w:r>
        <w:rPr>
          <w:rFonts w:ascii="Arial" w:cs="Arial" w:eastAsia="Arial" w:hAnsi="Arial"/>
          <w:sz w:val="22"/>
          <w:szCs w:val="22"/>
        </w:rPr>
        <w:t xml:space="preserve">Research Access Path: Researcher submits data request → Governance Portal approval workflow → de-identification pipeline triggered → approved dataset provisioned in isolated research workspace → access logged and time-bounded.</w:t>
      </w:r>
    </w:p>
    <w:p>
      <w:pPr>
        <w:pStyle w:val="ListParagraph"/>
        <w:numPr>
          <w:ilvl w:val="0"/>
          <w:numId w:val="2"/>
        </w:numPr>
        <w:spacing w:after="80"/>
      </w:pPr>
      <w:r>
        <w:rPr>
          <w:rFonts w:ascii="Arial" w:cs="Arial" w:eastAsia="Arial" w:hAnsi="Arial"/>
          <w:sz w:val="22"/>
          <w:szCs w:val="22"/>
        </w:rPr>
        <w:t xml:space="preserve">International Transfer Path: Data to EU researchers flows via Azure Private Link to approved cross-region endpoints; GDPR SCCs and DPAs validated before access is provisioned; data residency constraints enforced via Azure Policy.</w:t>
      </w:r>
    </w:p>
    <w:p>
      <w:r>
        <w:t xml:space="preserve"/>
      </w:r>
    </w:p>
    <w:p>
      <w:pPr>
        <w:pStyle w:val="Heading1"/>
      </w:pPr>
      <w:r>
        <w:rPr>
          <w:rFonts w:ascii="Arial" w:cs="Arial" w:eastAsia="Arial" w:hAnsi="Arial"/>
          <w:b/>
          <w:bCs/>
          <w:color w:val="1F4E79"/>
          <w:sz w:val="32"/>
          <w:szCs w:val="32"/>
        </w:rPr>
        <w:t xml:space="preserve">3. Azure Health Data Services Configuration</w:t>
      </w:r>
    </w:p>
    <w:p>
      <w:pPr>
        <w:pStyle w:val="Heading2"/>
      </w:pPr>
      <w:r>
        <w:rPr>
          <w:rFonts w:ascii="Arial" w:cs="Arial" w:eastAsia="Arial" w:hAnsi="Arial"/>
          <w:b/>
          <w:bCs/>
          <w:color w:val="2E75B6"/>
          <w:sz w:val="26"/>
          <w:szCs w:val="26"/>
        </w:rPr>
        <w:t xml:space="preserve">3.1 FHIR Service</w:t>
      </w:r>
    </w:p>
    <w:p>
      <w:pPr>
        <w:pStyle w:val="ListParagraph"/>
        <w:numPr>
          <w:ilvl w:val="0"/>
          <w:numId w:val="2"/>
        </w:numPr>
        <w:spacing w:after="80"/>
      </w:pPr>
      <w:r>
        <w:rPr>
          <w:rFonts w:ascii="Arial" w:cs="Arial" w:eastAsia="Arial" w:hAnsi="Arial"/>
          <w:sz w:val="22"/>
          <w:szCs w:val="22"/>
        </w:rPr>
        <w:t xml:space="preserve">FHIR R4 API deployed within Azure Health Data Services workspace; supports clinical data exchange using standardized HL7 FHIR resources.</w:t>
      </w:r>
    </w:p>
    <w:p>
      <w:pPr>
        <w:pStyle w:val="ListParagraph"/>
        <w:numPr>
          <w:ilvl w:val="0"/>
          <w:numId w:val="2"/>
        </w:numPr>
        <w:spacing w:after="80"/>
      </w:pPr>
      <w:r>
        <w:rPr>
          <w:rFonts w:ascii="Arial" w:cs="Arial" w:eastAsia="Arial" w:hAnsi="Arial"/>
          <w:sz w:val="22"/>
          <w:szCs w:val="22"/>
        </w:rPr>
        <w:t xml:space="preserve">SMART on FHIR authorization layer enforces patient-level and practitioner-level data scopes.</w:t>
      </w:r>
    </w:p>
    <w:p>
      <w:pPr>
        <w:pStyle w:val="ListParagraph"/>
        <w:numPr>
          <w:ilvl w:val="0"/>
          <w:numId w:val="2"/>
        </w:numPr>
        <w:spacing w:after="80"/>
      </w:pPr>
      <w:r>
        <w:rPr>
          <w:rFonts w:ascii="Arial" w:cs="Arial" w:eastAsia="Arial" w:hAnsi="Arial"/>
          <w:sz w:val="22"/>
          <w:szCs w:val="22"/>
        </w:rPr>
        <w:t xml:space="preserve">$export operations configured for de-identification pipeline integration; bulk export triggers PHI detection workflow before dataset release.</w:t>
      </w:r>
    </w:p>
    <w:p>
      <w:pPr>
        <w:pStyle w:val="ListParagraph"/>
        <w:numPr>
          <w:ilvl w:val="0"/>
          <w:numId w:val="2"/>
        </w:numPr>
        <w:spacing w:after="80"/>
      </w:pPr>
      <w:r>
        <w:rPr>
          <w:rFonts w:ascii="Arial" w:cs="Arial" w:eastAsia="Arial" w:hAnsi="Arial"/>
          <w:sz w:val="22"/>
          <w:szCs w:val="22"/>
        </w:rPr>
        <w:t xml:space="preserve">Consent resources (FHIR Consent R4) synchronized with patient consent preferences managed in the Patient Portal.</w:t>
      </w:r>
    </w:p>
    <w:p>
      <w:r>
        <w:t xml:space="preserve"/>
      </w:r>
    </w:p>
    <w:p>
      <w:pPr>
        <w:pStyle w:val="Heading2"/>
      </w:pPr>
      <w:r>
        <w:rPr>
          <w:rFonts w:ascii="Arial" w:cs="Arial" w:eastAsia="Arial" w:hAnsi="Arial"/>
          <w:b/>
          <w:bCs/>
          <w:color w:val="2E75B6"/>
          <w:sz w:val="26"/>
          <w:szCs w:val="26"/>
        </w:rPr>
        <w:t xml:space="preserve">3.2 DICOM Service</w:t>
      </w:r>
    </w:p>
    <w:p>
      <w:pPr>
        <w:pStyle w:val="ListParagraph"/>
        <w:numPr>
          <w:ilvl w:val="0"/>
          <w:numId w:val="2"/>
        </w:numPr>
        <w:spacing w:after="80"/>
      </w:pPr>
      <w:r>
        <w:rPr>
          <w:rFonts w:ascii="Arial" w:cs="Arial" w:eastAsia="Arial" w:hAnsi="Arial"/>
          <w:sz w:val="22"/>
          <w:szCs w:val="22"/>
        </w:rPr>
        <w:t xml:space="preserve">DICOMweb-compliant imaging service handles radiology, pathology, and genomics imaging data.</w:t>
      </w:r>
    </w:p>
    <w:p>
      <w:pPr>
        <w:pStyle w:val="ListParagraph"/>
        <w:numPr>
          <w:ilvl w:val="0"/>
          <w:numId w:val="2"/>
        </w:numPr>
        <w:spacing w:after="80"/>
      </w:pPr>
      <w:r>
        <w:rPr>
          <w:rFonts w:ascii="Arial" w:cs="Arial" w:eastAsia="Arial" w:hAnsi="Arial"/>
          <w:sz w:val="22"/>
          <w:szCs w:val="22"/>
        </w:rPr>
        <w:t xml:space="preserve">DICOM metadata de-identification enforced using DICOM PS 3.15 Attribute Confidentiality Profiles before any image dataset export.</w:t>
      </w:r>
    </w:p>
    <w:p>
      <w:pPr>
        <w:pStyle w:val="ListParagraph"/>
        <w:numPr>
          <w:ilvl w:val="0"/>
          <w:numId w:val="2"/>
        </w:numPr>
        <w:spacing w:after="80"/>
      </w:pPr>
      <w:r>
        <w:rPr>
          <w:rFonts w:ascii="Arial" w:cs="Arial" w:eastAsia="Arial" w:hAnsi="Arial"/>
          <w:sz w:val="22"/>
          <w:szCs w:val="22"/>
        </w:rPr>
        <w:t xml:space="preserve">Azure Container Registry stores processing containers; Azure Kubernetes Service (AKS) executes image processing workloads within private cluster configurations.</w:t>
      </w:r>
    </w:p>
    <w:p>
      <w:r>
        <w:t xml:space="preserve"/>
      </w:r>
    </w:p>
    <w:p>
      <w:pPr>
        <w:pStyle w:val="Heading2"/>
      </w:pPr>
      <w:r>
        <w:rPr>
          <w:rFonts w:ascii="Arial" w:cs="Arial" w:eastAsia="Arial" w:hAnsi="Arial"/>
          <w:b/>
          <w:bCs/>
          <w:color w:val="2E75B6"/>
          <w:sz w:val="26"/>
          <w:szCs w:val="26"/>
        </w:rPr>
        <w:t xml:space="preserve">3.3 IoT Connector</w:t>
      </w:r>
    </w:p>
    <w:p>
      <w:pPr>
        <w:pStyle w:val="ListParagraph"/>
        <w:numPr>
          <w:ilvl w:val="0"/>
          <w:numId w:val="2"/>
        </w:numPr>
        <w:spacing w:after="80"/>
      </w:pPr>
      <w:r>
        <w:rPr>
          <w:rFonts w:ascii="Arial" w:cs="Arial" w:eastAsia="Arial" w:hAnsi="Arial"/>
          <w:sz w:val="22"/>
          <w:szCs w:val="22"/>
        </w:rPr>
        <w:t xml:space="preserve">Azure IoT Hub ingests data from connected medical devices (wearables, bedside monitors, infusion pumps) using device-specific certificates for mutual authentication.</w:t>
      </w:r>
    </w:p>
    <w:p>
      <w:pPr>
        <w:pStyle w:val="ListParagraph"/>
        <w:numPr>
          <w:ilvl w:val="0"/>
          <w:numId w:val="2"/>
        </w:numPr>
        <w:spacing w:after="80"/>
      </w:pPr>
      <w:r>
        <w:rPr>
          <w:rFonts w:ascii="Arial" w:cs="Arial" w:eastAsia="Arial" w:hAnsi="Arial"/>
          <w:sz w:val="22"/>
          <w:szCs w:val="22"/>
        </w:rPr>
        <w:t xml:space="preserve">IoT Connector maps device telemetry to FHIR Observation resources using configurable device mappings.</w:t>
      </w:r>
    </w:p>
    <w:p>
      <w:pPr>
        <w:pStyle w:val="ListParagraph"/>
        <w:numPr>
          <w:ilvl w:val="0"/>
          <w:numId w:val="2"/>
        </w:numPr>
        <w:spacing w:after="80"/>
      </w:pPr>
      <w:r>
        <w:rPr>
          <w:rFonts w:ascii="Arial" w:cs="Arial" w:eastAsia="Arial" w:hAnsi="Arial"/>
          <w:sz w:val="22"/>
          <w:szCs w:val="22"/>
        </w:rPr>
        <w:t xml:space="preserve">Device firmware integrity validated via Azure Defender for IoT; anomalous device behavior triggers automated isolation.</w:t>
      </w:r>
    </w:p>
    <w:p>
      <w:r>
        <w:t xml:space="preserve"/>
      </w:r>
    </w:p>
    <w:p>
      <w:pPr>
        <w:pStyle w:val="Heading2"/>
      </w:pPr>
      <w:r>
        <w:rPr>
          <w:rFonts w:ascii="Arial" w:cs="Arial" w:eastAsia="Arial" w:hAnsi="Arial"/>
          <w:b/>
          <w:bCs/>
          <w:color w:val="2E75B6"/>
          <w:sz w:val="26"/>
          <w:szCs w:val="26"/>
        </w:rPr>
        <w:t xml:space="preserve">3.4 Azure Data Lake</w:t>
      </w:r>
    </w:p>
    <w:p>
      <w:pPr>
        <w:pStyle w:val="ListParagraph"/>
        <w:numPr>
          <w:ilvl w:val="0"/>
          <w:numId w:val="2"/>
        </w:numPr>
        <w:spacing w:after="80"/>
      </w:pPr>
      <w:r>
        <w:rPr>
          <w:rFonts w:ascii="Arial" w:cs="Arial" w:eastAsia="Arial" w:hAnsi="Arial"/>
          <w:sz w:val="22"/>
          <w:szCs w:val="22"/>
        </w:rPr>
        <w:t xml:space="preserve">Azure Data Lake Storage Gen2 with hierarchical namespace organizes data into Bronze (raw ingestion), Silver (validated/transformed), and Gold (research-ready de-identified) tiers.</w:t>
      </w:r>
    </w:p>
    <w:p>
      <w:pPr>
        <w:pStyle w:val="ListParagraph"/>
        <w:numPr>
          <w:ilvl w:val="0"/>
          <w:numId w:val="2"/>
        </w:numPr>
        <w:spacing w:after="80"/>
      </w:pPr>
      <w:r>
        <w:rPr>
          <w:rFonts w:ascii="Arial" w:cs="Arial" w:eastAsia="Arial" w:hAnsi="Arial"/>
          <w:sz w:val="22"/>
          <w:szCs w:val="22"/>
        </w:rPr>
        <w:t xml:space="preserve">Azure Synapse Analytics provides research query capabilities against the Gold tier; row-level security enforced per researcher project scope.</w:t>
      </w:r>
    </w:p>
    <w:p>
      <w:pPr>
        <w:pStyle w:val="ListParagraph"/>
        <w:numPr>
          <w:ilvl w:val="0"/>
          <w:numId w:val="2"/>
        </w:numPr>
        <w:spacing w:after="80"/>
      </w:pPr>
      <w:r>
        <w:rPr>
          <w:rFonts w:ascii="Arial" w:cs="Arial" w:eastAsia="Arial" w:hAnsi="Arial"/>
          <w:sz w:val="22"/>
          <w:szCs w:val="22"/>
        </w:rPr>
        <w:t xml:space="preserve">Microsoft Purview data catalog automatically discovers and classifies data assets; sensitivity labels propagated to downstream analytics workspaces.</w:t>
      </w:r>
    </w:p>
    <w:p>
      <w:r>
        <w:t xml:space="preserve"/>
      </w:r>
    </w:p>
    <w:p>
      <w:pPr>
        <w:pStyle w:val="Heading1"/>
      </w:pPr>
      <w:r>
        <w:rPr>
          <w:rFonts w:ascii="Arial" w:cs="Arial" w:eastAsia="Arial" w:hAnsi="Arial"/>
          <w:b/>
          <w:bCs/>
          <w:color w:val="1F4E79"/>
          <w:sz w:val="32"/>
          <w:szCs w:val="32"/>
        </w:rPr>
        <w:t xml:space="preserve">4. Confidential Computing Strategy</w:t>
      </w:r>
    </w:p>
    <w:p>
      <w:pPr>
        <w:spacing w:after="140"/>
      </w:pPr>
      <w:r>
        <w:rPr>
          <w:rFonts w:ascii="Arial" w:cs="Arial" w:eastAsia="Arial" w:hAnsi="Arial"/>
          <w:sz w:val="22"/>
          <w:szCs w:val="22"/>
        </w:rPr>
        <w:t xml:space="preserve">Sensitive clinical AI model training and international research analysis requiring raw or minimally processed data are conducted exclusively within Azure Confidential Computing environments:</w:t>
      </w:r>
    </w:p>
    <w:p>
      <w:pPr>
        <w:pStyle w:val="ListParagraph"/>
        <w:numPr>
          <w:ilvl w:val="0"/>
          <w:numId w:val="2"/>
        </w:numPr>
        <w:spacing w:after="80"/>
      </w:pPr>
      <w:r>
        <w:rPr>
          <w:rFonts w:ascii="Arial" w:cs="Arial" w:eastAsia="Arial" w:hAnsi="Arial"/>
          <w:sz w:val="22"/>
          <w:szCs w:val="22"/>
        </w:rPr>
        <w:t xml:space="preserve">Azure Confidential VMs (DCsv3 series with Intel SGX or AMD SEV-SNP) host AI training workloads; data is encrypted in memory during processing — never exposed to the hypervisor or host OS.</w:t>
      </w:r>
    </w:p>
    <w:p>
      <w:pPr>
        <w:pStyle w:val="ListParagraph"/>
        <w:numPr>
          <w:ilvl w:val="0"/>
          <w:numId w:val="2"/>
        </w:numPr>
        <w:spacing w:after="80"/>
      </w:pPr>
      <w:r>
        <w:rPr>
          <w:rFonts w:ascii="Arial" w:cs="Arial" w:eastAsia="Arial" w:hAnsi="Arial"/>
          <w:sz w:val="22"/>
          <w:szCs w:val="22"/>
        </w:rPr>
        <w:t xml:space="preserve">Enclave Attestation: Before any sensitive dataset is provisioned into an enclave, Remote Attestation validates the enclave identity and platform integrity. Attestation certificates are logged to the immutable audit store.</w:t>
      </w:r>
    </w:p>
    <w:p>
      <w:pPr>
        <w:pStyle w:val="ListParagraph"/>
        <w:numPr>
          <w:ilvl w:val="0"/>
          <w:numId w:val="2"/>
        </w:numPr>
        <w:spacing w:after="80"/>
      </w:pPr>
      <w:r>
        <w:rPr>
          <w:rFonts w:ascii="Arial" w:cs="Arial" w:eastAsia="Arial" w:hAnsi="Arial"/>
          <w:sz w:val="22"/>
          <w:szCs w:val="22"/>
        </w:rPr>
        <w:t xml:space="preserve">Azure Confidential Ledger records attestation events, data access grants, and model training provenance in a tamper-evident, blockchain-backed ledger — satisfying IRB and regulatory audit requirements.</w:t>
      </w:r>
    </w:p>
    <w:p>
      <w:pPr>
        <w:pStyle w:val="ListParagraph"/>
        <w:numPr>
          <w:ilvl w:val="0"/>
          <w:numId w:val="2"/>
        </w:numPr>
        <w:spacing w:after="80"/>
      </w:pPr>
      <w:r>
        <w:rPr>
          <w:rFonts w:ascii="Arial" w:cs="Arial" w:eastAsia="Arial" w:hAnsi="Arial"/>
          <w:sz w:val="22"/>
          <w:szCs w:val="22"/>
        </w:rPr>
        <w:t xml:space="preserve">Multi-Party Computation: International research collaborations requiring joint analysis without raw data sharing are implemented using Azure Confidential Computing's multi-party computation framework — each hospital's encrypted dataset is jointly analyzed within a shared secure enclave without any institution accessing another's raw records.</w:t>
      </w:r>
    </w:p>
    <w:p>
      <w:r>
        <w:t xml:space="preserve"/>
      </w:r>
    </w:p>
    <w:p>
      <w:pPr>
        <w:pStyle w:val="Heading1"/>
      </w:pPr>
      <w:r>
        <w:rPr>
          <w:rFonts w:ascii="Arial" w:cs="Arial" w:eastAsia="Arial" w:hAnsi="Arial"/>
          <w:b/>
          <w:bCs/>
          <w:color w:val="1F4E79"/>
          <w:sz w:val="32"/>
          <w:szCs w:val="32"/>
        </w:rPr>
        <w:t xml:space="preserve">5. Security Control Mappings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3000"/>
        <w:gridCol w:w="4160"/>
      </w:tblGrid>
      <w:tr>
        <w:tc>
          <w:tcPr>
            <w:tcW w:type="dxa" w:w="22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Regulation</w:t>
            </w:r>
          </w:p>
        </w:tc>
        <w:tc>
          <w:tcPr>
            <w:tcW w:type="dxa" w:w="300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Requirement</w:t>
            </w:r>
          </w:p>
        </w:tc>
        <w:tc>
          <w:tcPr>
            <w:tcW w:type="dxa" w:w="4160"/>
            <w:tcBorders>
              <w:top w:val="single" w:color="CCCCCC" w:sz="1"/>
              <w:left w:val="single" w:color="CCCCCC" w:sz="1"/>
              <w:bottom w:val="single" w:color="CCCCCC" w:sz="1"/>
              <w:right w:val="single" w:color="CCCCCC" w:sz="1"/>
            </w:tcBorders>
            <w:shd w:fill="1F4E79" w:val="clear"/>
            <w:tcMar>
              <w:top w:type="dxa" w:w="80"/>
              <w:left w:type="dxa" w:w="120"/>
              <w:bottom w:type="dxa" w:w="80"/>
              <w:right w:type="dxa" w:w="120"/>
            </w:tcMar>
          </w:tcPr>
          <w:p>
            <w:r>
              <w:rPr>
                <w:rFonts w:ascii="Arial" w:cs="Arial" w:eastAsia="Arial" w:hAnsi="Arial"/>
                <w:b/>
                <w:bCs/>
                <w:color w:val="FFFFFF"/>
                <w:sz w:val="20"/>
                <w:szCs w:val="20"/>
              </w:rPr>
              <w:t xml:space="preserve">Azure Control Implemented</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HIPAA §164.312(a)(1)</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Access Control — unique user ID, auto-logoff, encryption</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Entra ID RBAC, PIM, Conditional Access, session timeout policies</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HIPAA §164.312(e)(1)</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Transmission Security — encryption in transit</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TLS 1.3 enforced on all endpoints; private endpoints eliminate internet exposure</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GDPR Art. 32</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Security of Processing — encryption, pseudonymization, resilience</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CMK encryption, de-identification pipeline, Azure Availability Zones for resilience</w:t>
            </w:r>
          </w:p>
        </w:tc>
      </w:tr>
      <w:tr>
        <w:tc>
          <w:tcPr>
            <w:tcW w:type="dxa" w:w="22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GDPR Art. 46</w:t>
            </w:r>
          </w:p>
        </w:tc>
        <w:tc>
          <w:tcPr>
            <w:tcW w:type="dxa" w:w="300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International transfers — adequate safeguards required</w:t>
            </w:r>
          </w:p>
        </w:tc>
        <w:tc>
          <w:tcPr>
            <w:tcW w:type="dxa" w:w="4160"/>
            <w:tcBorders>
              <w:top w:val="single" w:color="CCCCCC" w:sz="1"/>
              <w:left w:val="single" w:color="CCCCCC" w:sz="1"/>
              <w:bottom w:val="single" w:color="CCCCCC" w:sz="1"/>
              <w:right w:val="single" w:color="CCCCCC" w:sz="1"/>
            </w:tcBorders>
            <w:shd w:fill="EBF3FB" w:val="clear"/>
            <w:tcMar>
              <w:top w:type="dxa" w:w="80"/>
              <w:left w:type="dxa" w:w="120"/>
              <w:bottom w:type="dxa" w:w="80"/>
              <w:right w:type="dxa" w:w="120"/>
            </w:tcMar>
          </w:tcPr>
          <w:p>
            <w:r>
              <w:rPr>
                <w:rFonts w:ascii="Arial" w:cs="Arial" w:eastAsia="Arial" w:hAnsi="Arial"/>
                <w:sz w:val="20"/>
                <w:szCs w:val="20"/>
              </w:rPr>
              <w:t xml:space="preserve">SCCs and DPAs executed before international researcher provisioning; Azure data residency controls</w:t>
            </w:r>
          </w:p>
        </w:tc>
      </w:tr>
      <w:tr>
        <w:tc>
          <w:tcPr>
            <w:tcW w:type="dxa" w:w="22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HIPAA Breach Rule</w:t>
            </w:r>
          </w:p>
        </w:tc>
        <w:tc>
          <w:tcPr>
            <w:tcW w:type="dxa" w:w="300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60-day breach notification to HHS and affected individuals</w:t>
            </w:r>
          </w:p>
        </w:tc>
        <w:tc>
          <w:tcPr>
            <w:tcW w:type="dxa" w:w="4160"/>
            <w:tcBorders>
              <w:top w:val="single" w:color="CCCCCC" w:sz="1"/>
              <w:left w:val="single" w:color="CCCCCC" w:sz="1"/>
              <w:bottom w:val="single" w:color="CCCCCC" w:sz="1"/>
              <w:right w:val="single" w:color="CCCCCC" w:sz="1"/>
            </w:tcBorders>
            <w:shd w:fill="FFFFFF" w:val="clear"/>
            <w:tcMar>
              <w:top w:type="dxa" w:w="80"/>
              <w:left w:type="dxa" w:w="120"/>
              <w:bottom w:type="dxa" w:w="80"/>
              <w:right w:type="dxa" w:w="120"/>
            </w:tcMar>
          </w:tcPr>
          <w:p>
            <w:r>
              <w:rPr>
                <w:rFonts w:ascii="Arial" w:cs="Arial" w:eastAsia="Arial" w:hAnsi="Arial"/>
                <w:sz w:val="20"/>
                <w:szCs w:val="20"/>
              </w:rPr>
              <w:t xml:space="preserve">Microsoft Sentinel SIEM with automated incident response playbooks; breach case management in Purview</w:t>
            </w:r>
          </w:p>
        </w:tc>
      </w:tr>
    </w:tbl>
    <w:p>
      <w:r>
        <w:t xml:space="preserve"/>
      </w:r>
    </w:p>
    <w:p>
      <w:pPr>
        <w:pStyle w:val="Heading1"/>
      </w:pPr>
      <w:r>
        <w:rPr>
          <w:rFonts w:ascii="Arial" w:cs="Arial" w:eastAsia="Arial" w:hAnsi="Arial"/>
          <w:b/>
          <w:bCs/>
          <w:color w:val="1F4E79"/>
          <w:sz w:val="32"/>
          <w:szCs w:val="32"/>
        </w:rPr>
        <w:t xml:space="preserve">6. Implementation Roadmap and Risk Mitigation</w:t>
      </w:r>
    </w:p>
    <w:p>
      <w:pPr>
        <w:pStyle w:val="Heading2"/>
      </w:pPr>
      <w:r>
        <w:rPr>
          <w:rFonts w:ascii="Arial" w:cs="Arial" w:eastAsia="Arial" w:hAnsi="Arial"/>
          <w:b/>
          <w:bCs/>
          <w:color w:val="2E75B6"/>
          <w:sz w:val="26"/>
          <w:szCs w:val="26"/>
        </w:rPr>
        <w:t xml:space="preserve">6.1 Implementation Phases</w:t>
      </w:r>
    </w:p>
    <w:p>
      <w:pPr>
        <w:pStyle w:val="ListParagraph"/>
        <w:numPr>
          <w:ilvl w:val="0"/>
          <w:numId w:val="2"/>
        </w:numPr>
        <w:spacing w:after="80"/>
      </w:pPr>
      <w:r>
        <w:rPr>
          <w:rFonts w:ascii="Arial" w:cs="Arial" w:eastAsia="Arial" w:hAnsi="Arial"/>
          <w:sz w:val="22"/>
          <w:szCs w:val="22"/>
        </w:rPr>
        <w:t xml:space="preserve">Phase 1 (Months 1–3): Emergency Remediation — Immediately revoke researcher access to personal cloud drives; implement DLP policies blocking unauthorized uploads; audit all existing de-identified datasets for PHI remnants; execute SCCs with international partners.</w:t>
      </w:r>
    </w:p>
    <w:p>
      <w:pPr>
        <w:pStyle w:val="ListParagraph"/>
        <w:numPr>
          <w:ilvl w:val="0"/>
          <w:numId w:val="2"/>
        </w:numPr>
        <w:spacing w:after="80"/>
      </w:pPr>
      <w:r>
        <w:rPr>
          <w:rFonts w:ascii="Arial" w:cs="Arial" w:eastAsia="Arial" w:hAnsi="Arial"/>
          <w:sz w:val="22"/>
          <w:szCs w:val="22"/>
        </w:rPr>
        <w:t xml:space="preserve">Phase 2 (Months 4–6): Core Platform Deployment — Deploy Azure Health Data Services workspace (FHIR, DICOM, IoT Connector); configure Entra ID RBAC and Conditional Access; implement Key Vault CMK encryption; establish Private Endpoint network topology.</w:t>
      </w:r>
    </w:p>
    <w:p>
      <w:pPr>
        <w:pStyle w:val="ListParagraph"/>
        <w:numPr>
          <w:ilvl w:val="0"/>
          <w:numId w:val="2"/>
        </w:numPr>
        <w:spacing w:after="80"/>
      </w:pPr>
      <w:r>
        <w:rPr>
          <w:rFonts w:ascii="Arial" w:cs="Arial" w:eastAsia="Arial" w:hAnsi="Arial"/>
          <w:sz w:val="22"/>
          <w:szCs w:val="22"/>
        </w:rPr>
        <w:t xml:space="preserve">Phase 3 (Months 7–9): Research Platform and Privacy Engineering — Deploy de-identification pipeline; launch Research Data Portal; configure Azure Synapse Analytics with row-level security; implement differential privacy controls for aggregate queries.</w:t>
      </w:r>
    </w:p>
    <w:p>
      <w:pPr>
        <w:pStyle w:val="ListParagraph"/>
        <w:numPr>
          <w:ilvl w:val="0"/>
          <w:numId w:val="2"/>
        </w:numPr>
        <w:spacing w:after="80"/>
      </w:pPr>
      <w:r>
        <w:rPr>
          <w:rFonts w:ascii="Arial" w:cs="Arial" w:eastAsia="Arial" w:hAnsi="Arial"/>
          <w:sz w:val="22"/>
          <w:szCs w:val="22"/>
        </w:rPr>
        <w:t xml:space="preserve">Phase 4 (Months 10–12): Governance, Monitoring, and AI Oversight — Activate Microsoft Purview data governance; deploy Microsoft Sentinel SIEM; configure compliance dashboards; establish AI model training oversight framework with IRB integration.</w:t>
      </w:r>
    </w:p>
    <w:p>
      <w:r>
        <w:t xml:space="preserve"/>
      </w:r>
    </w:p>
    <w:p>
      <w:pPr>
        <w:pStyle w:val="Heading2"/>
      </w:pPr>
      <w:r>
        <w:rPr>
          <w:rFonts w:ascii="Arial" w:cs="Arial" w:eastAsia="Arial" w:hAnsi="Arial"/>
          <w:b/>
          <w:bCs/>
          <w:color w:val="2E75B6"/>
          <w:sz w:val="26"/>
          <w:szCs w:val="26"/>
        </w:rPr>
        <w:t xml:space="preserve">6.2 Risk Mitigation and Business Continuity</w:t>
      </w:r>
    </w:p>
    <w:p>
      <w:pPr>
        <w:pStyle w:val="ListParagraph"/>
        <w:numPr>
          <w:ilvl w:val="0"/>
          <w:numId w:val="2"/>
        </w:numPr>
        <w:spacing w:after="80"/>
      </w:pPr>
      <w:r>
        <w:rPr>
          <w:rFonts w:ascii="Arial" w:cs="Arial" w:eastAsia="Arial" w:hAnsi="Arial"/>
          <w:sz w:val="22"/>
          <w:szCs w:val="22"/>
        </w:rPr>
        <w:t xml:space="preserve">High Availability: Azure Health Data Services deployed across Availability Zones; Recovery Time Objective (RTO) of 4 hours; Recovery Point Objective (RPO) of 1 hour.</w:t>
      </w:r>
    </w:p>
    <w:p>
      <w:pPr>
        <w:pStyle w:val="ListParagraph"/>
        <w:numPr>
          <w:ilvl w:val="0"/>
          <w:numId w:val="2"/>
        </w:numPr>
        <w:spacing w:after="80"/>
      </w:pPr>
      <w:r>
        <w:rPr>
          <w:rFonts w:ascii="Arial" w:cs="Arial" w:eastAsia="Arial" w:hAnsi="Arial"/>
          <w:sz w:val="22"/>
          <w:szCs w:val="22"/>
        </w:rPr>
        <w:t xml:space="preserve">Disaster Recovery: Geo-redundant storage for FHIR and Data Lake; automated failover to paired Azure region; DR testing conducted quarterly.</w:t>
      </w:r>
    </w:p>
    <w:p>
      <w:pPr>
        <w:pStyle w:val="ListParagraph"/>
        <w:numPr>
          <w:ilvl w:val="0"/>
          <w:numId w:val="2"/>
        </w:numPr>
        <w:spacing w:after="80"/>
      </w:pPr>
      <w:r>
        <w:rPr>
          <w:rFonts w:ascii="Arial" w:cs="Arial" w:eastAsia="Arial" w:hAnsi="Arial"/>
          <w:sz w:val="22"/>
          <w:szCs w:val="22"/>
        </w:rPr>
        <w:t xml:space="preserve">Continuity for Researchers: Transition period of 60 days provided with supervised access migration to the new Research Portal; training provided before legacy access revocation.</w:t>
      </w:r>
    </w:p>
    <w:p>
      <w:pPr>
        <w:pStyle w:val="ListParagraph"/>
        <w:numPr>
          <w:ilvl w:val="0"/>
          <w:numId w:val="2"/>
        </w:numPr>
        <w:spacing w:after="80"/>
      </w:pPr>
      <w:r>
        <w:rPr>
          <w:rFonts w:ascii="Arial" w:cs="Arial" w:eastAsia="Arial" w:hAnsi="Arial"/>
          <w:sz w:val="22"/>
          <w:szCs w:val="22"/>
        </w:rPr>
        <w:t xml:space="preserve">Third-Party Risk: All cloud service providers assessed under HIPAA Business Associate Agreement (BAA) requirements; Microsoft Azure BAA executed and documented in contract register.</w:t>
      </w:r>
    </w:p>
    <w:p>
      <w:r>
        <w:t xml:space="preserve"/>
      </w:r>
    </w:p>
    <w:p>
      <w:pPr>
        <w:pBdr>
          <w:top w:val="single" w:color="2E75B6" w:sz="6"/>
        </w:pBdr>
        <w:spacing w:before="400"/>
        <w:jc w:val="center"/>
      </w:pPr>
      <w:r>
        <w:rPr>
          <w:rFonts w:ascii="Arial" w:cs="Arial" w:eastAsia="Arial" w:hAnsi="Arial"/>
          <w:i/>
          <w:iCs/>
          <w:color w:val="595959"/>
          <w:sz w:val="18"/>
          <w:szCs w:val="18"/>
        </w:rPr>
        <w:t xml:space="preserve">Confidential | Healthcare Data Governance and Security System Portfolio | March 2026</w:t>
      </w:r>
    </w:p>
    <w:sectPr>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00"/>
      <w:outlineLvl w:val="0"/>
    </w:pPr>
    <w:rPr>
      <w:rFonts w:ascii="Arial" w:cs="Arial" w:eastAsia="Arial" w:hAnsi="Arial"/>
      <w:b/>
      <w:bCs/>
      <w:color w:val="1F4E79"/>
      <w:sz w:val="32"/>
      <w:szCs w:val="32"/>
    </w:rPr>
  </w:style>
  <w:style w:type="paragraph" w:styleId="Heading2">
    <w:name w:val="Heading 2"/>
    <w:basedOn w:val="Normal"/>
    <w:next w:val="Normal"/>
    <w:qFormat/>
    <w:pPr>
      <w:spacing w:after="120" w:before="200"/>
      <w:outlineLvl w:val="1"/>
    </w:pPr>
    <w:rPr>
      <w:rFonts w:ascii="Arial" w:cs="Arial" w:eastAsia="Arial" w:hAnsi="Arial"/>
      <w:b/>
      <w:bCs/>
      <w:color w:val="2E75B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2026-03-27T05:45:27.792Z</dcterms:created>
  <dcterms:modified xsi:type="dcterms:W3CDTF">2026-03-27T05:45:27.793Z</dcterms:modified>
</cp:coreProperties>
</file>

<file path=docProps/custom.xml><?xml version="1.0" encoding="utf-8"?>
<Properties xmlns="http://schemas.openxmlformats.org/officeDocument/2006/custom-properties" xmlns:vt="http://schemas.openxmlformats.org/officeDocument/2006/docPropsVTypes"/>
</file>