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5E20"/>
          <w:sz w:val="40"/>
          <w:szCs w:val="40"/>
        </w:rPr>
        <w:t xml:space="preserve">Healthcare Data Governance and Security System</w:t>
      </w:r>
    </w:p>
    <w:p>
      <w:pPr>
        <w:spacing w:after="80"/>
        <w:jc w:val="center"/>
      </w:pPr>
      <w:r>
        <w:rPr>
          <w:rFonts w:ascii="Arial" w:cs="Arial" w:eastAsia="Arial" w:hAnsi="Arial"/>
          <w:b/>
          <w:bCs/>
          <w:color w:val="388E3C"/>
          <w:sz w:val="30"/>
          <w:szCs w:val="30"/>
        </w:rPr>
        <w:t xml:space="preserve">Area 2: Compliance &amp; Governance Framework</w:t>
      </w:r>
    </w:p>
    <w:p>
      <w:pPr>
        <w:spacing w:after="300"/>
        <w:jc w:val="center"/>
      </w:pPr>
      <w:r>
        <w:rPr>
          <w:rFonts w:ascii="Arial" w:cs="Arial" w:eastAsia="Arial" w:hAnsi="Arial"/>
          <w:i/>
          <w:iCs/>
          <w:color w:val="595959"/>
          <w:sz w:val="20"/>
          <w:szCs w:val="20"/>
        </w:rPr>
        <w:t xml:space="preserve">Academic Medical Center | Lead Healthcare Data Security Architect | March 2026</w:t>
      </w:r>
    </w:p>
    <w:p>
      <w:pPr>
        <w:pStyle w:val="Heading1"/>
      </w:pPr>
      <w:r>
        <w:rPr>
          <w:rFonts w:ascii="Arial" w:cs="Arial" w:eastAsia="Arial" w:hAnsi="Arial"/>
          <w:b/>
          <w:bCs/>
          <w:color w:val="1B5E20"/>
          <w:sz w:val="32"/>
          <w:szCs w:val="32"/>
        </w:rPr>
        <w:t xml:space="preserve">1. Governance Charter</w:t>
      </w:r>
    </w:p>
    <w:p>
      <w:pPr>
        <w:pStyle w:val="Heading2"/>
      </w:pPr>
      <w:r>
        <w:rPr>
          <w:rFonts w:ascii="Arial" w:cs="Arial" w:eastAsia="Arial" w:hAnsi="Arial"/>
          <w:b/>
          <w:bCs/>
          <w:color w:val="388E3C"/>
          <w:sz w:val="26"/>
          <w:szCs w:val="26"/>
        </w:rPr>
        <w:t xml:space="preserve">1.1 Mission Statement</w:t>
      </w:r>
    </w:p>
    <w:p>
      <w:pPr>
        <w:spacing w:after="140"/>
      </w:pPr>
      <w:r>
        <w:rPr>
          <w:rFonts w:ascii="Arial" w:cs="Arial" w:eastAsia="Arial" w:hAnsi="Arial"/>
          <w:sz w:val="22"/>
          <w:szCs w:val="22"/>
        </w:rPr>
        <w:t xml:space="preserve">The Healthcare Data Governance Program exists to ensure that all patient, research, and operational data assets are managed with the highest standards of security, privacy, regulatory compliance, and ethical integrity. The program enables the organization's research and clinical missions while protecting the rights and safety of every patient whose data is entrusted to the institution.</w:t>
      </w:r>
    </w:p>
    <w:p>
      <w:pPr>
        <w:pStyle w:val="Heading2"/>
      </w:pPr>
      <w:r>
        <w:rPr>
          <w:rFonts w:ascii="Arial" w:cs="Arial" w:eastAsia="Arial" w:hAnsi="Arial"/>
          <w:b/>
          <w:bCs/>
          <w:color w:val="388E3C"/>
          <w:sz w:val="26"/>
          <w:szCs w:val="26"/>
        </w:rPr>
        <w:t xml:space="preserve">1.2 Governance Structure</w:t>
      </w:r>
    </w:p>
    <w:p>
      <w:pPr>
        <w:pStyle w:val="ListParagraph"/>
        <w:numPr>
          <w:ilvl w:val="0"/>
          <w:numId w:val="2"/>
        </w:numPr>
        <w:spacing w:after="80"/>
      </w:pPr>
      <w:r>
        <w:rPr>
          <w:rFonts w:ascii="Arial" w:cs="Arial" w:eastAsia="Arial" w:hAnsi="Arial"/>
          <w:sz w:val="22"/>
          <w:szCs w:val="22"/>
        </w:rPr>
        <w:t xml:space="preserve">Data Governance Council (DGC): Executive-level body chaired by the Chief Data Officer (CDO) with membership including the CISO, Chief Privacy Officer (CPO), Chief Medical Officer (CMO), Chief Research Officer (CRO), General Counsel, and VP of Compliance. The DGC meets monthly to review compliance posture, approve policy changes, and adjudicate data access disputes.</w:t>
      </w:r>
    </w:p>
    <w:p>
      <w:pPr>
        <w:pStyle w:val="ListParagraph"/>
        <w:numPr>
          <w:ilvl w:val="0"/>
          <w:numId w:val="2"/>
        </w:numPr>
        <w:spacing w:after="80"/>
      </w:pPr>
      <w:r>
        <w:rPr>
          <w:rFonts w:ascii="Arial" w:cs="Arial" w:eastAsia="Arial" w:hAnsi="Arial"/>
          <w:sz w:val="22"/>
          <w:szCs w:val="22"/>
        </w:rPr>
        <w:t xml:space="preserve">Data Stewardship Committee: Operational committee of domain data stewards representing Clinical Operations, Research, IT, Legal, and Compliance. Meets bi-weekly; responsible for policy implementation, data classification decisions, and incident escalation.</w:t>
      </w:r>
    </w:p>
    <w:p>
      <w:pPr>
        <w:pStyle w:val="ListParagraph"/>
        <w:numPr>
          <w:ilvl w:val="0"/>
          <w:numId w:val="2"/>
        </w:numPr>
        <w:spacing w:after="80"/>
      </w:pPr>
      <w:r>
        <w:rPr>
          <w:rFonts w:ascii="Arial" w:cs="Arial" w:eastAsia="Arial" w:hAnsi="Arial"/>
          <w:sz w:val="22"/>
          <w:szCs w:val="22"/>
        </w:rPr>
        <w:t xml:space="preserve">Privacy Office: Reports to the CPO; manages patient rights requests, consent management, HIPAA Privacy Rule compliance, GDPR data subject rights, and breach notification coordination.</w:t>
      </w:r>
    </w:p>
    <w:p>
      <w:pPr>
        <w:pStyle w:val="ListParagraph"/>
        <w:numPr>
          <w:ilvl w:val="0"/>
          <w:numId w:val="2"/>
        </w:numPr>
        <w:spacing w:after="80"/>
      </w:pPr>
      <w:r>
        <w:rPr>
          <w:rFonts w:ascii="Arial" w:cs="Arial" w:eastAsia="Arial" w:hAnsi="Arial"/>
          <w:sz w:val="22"/>
          <w:szCs w:val="22"/>
        </w:rPr>
        <w:t xml:space="preserve">Information Security Office (ISO): Reports to the CISO; manages technical security controls, vulnerability management, SIEM operations, and security awareness training.</w:t>
      </w:r>
    </w:p>
    <w:p>
      <w:pPr>
        <w:pStyle w:val="Heading2"/>
      </w:pPr>
      <w:r>
        <w:rPr>
          <w:rFonts w:ascii="Arial" w:cs="Arial" w:eastAsia="Arial" w:hAnsi="Arial"/>
          <w:b/>
          <w:bCs/>
          <w:color w:val="388E3C"/>
          <w:sz w:val="26"/>
          <w:szCs w:val="26"/>
        </w:rPr>
        <w:t xml:space="preserve">1.3 Decision Rights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Decision Type</w:t>
            </w:r>
          </w:p>
        </w:tc>
        <w:tc>
          <w:tcPr>
            <w:tcW w:type="dxa" w:w="34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Authority</w:t>
            </w:r>
          </w:p>
        </w:tc>
        <w:tc>
          <w:tcPr>
            <w:tcW w:type="dxa" w:w="34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Escalation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 Creation / Major Changes</w:t>
            </w:r>
          </w:p>
        </w:tc>
        <w:tc>
          <w:tcPr>
            <w:tcW w:type="dxa" w:w="34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Governance Council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Board Risk Committee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Access Approvals (Standard)</w:t>
            </w:r>
          </w:p>
        </w:tc>
        <w:tc>
          <w:tcPr>
            <w:tcW w:type="dxa" w:w="34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Stewardship Committee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DGC if disputed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Emergency Data Access</w:t>
            </w:r>
          </w:p>
        </w:tc>
        <w:tc>
          <w:tcPr>
            <w:tcW w:type="dxa" w:w="34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000000"/>
                <w:sz w:val="20"/>
                <w:szCs w:val="20"/>
              </w:rPr>
              <w:t xml:space="preserve">CISO + CMO (joint)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DGC within 48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Breach Notification</w:t>
            </w:r>
          </w:p>
        </w:tc>
        <w:tc>
          <w:tcPr>
            <w:tcW w:type="dxa" w:w="34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000000"/>
                <w:sz w:val="20"/>
                <w:szCs w:val="20"/>
              </w:rPr>
              <w:t xml:space="preserve">CPO + CISO + Legal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CEO and Board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Third-Party Data Sharing Agreements</w:t>
            </w:r>
          </w:p>
        </w:tc>
        <w:tc>
          <w:tcPr>
            <w:tcW w:type="dxa" w:w="34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Counsel + CPO + CRO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DGC approval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Training Dataset Approval</w:t>
            </w:r>
          </w:p>
        </w:tc>
        <w:tc>
          <w:tcPr>
            <w:tcW w:type="dxa" w:w="34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000000"/>
                <w:sz w:val="20"/>
                <w:szCs w:val="20"/>
              </w:rPr>
              <w:t xml:space="preserve">IRB + CRO + CPO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DGC for novel use cases</w:t>
            </w:r>
          </w:p>
        </w:tc>
      </w:tr>
    </w:tbl>
    <w:p>
      <w:r>
        <w:t xml:space="preserve"/>
      </w:r>
    </w:p>
    <w:p>
      <w:pPr>
        <w:pStyle w:val="Heading1"/>
      </w:pPr>
      <w:r>
        <w:rPr>
          <w:rFonts w:ascii="Arial" w:cs="Arial" w:eastAsia="Arial" w:hAnsi="Arial"/>
          <w:b/>
          <w:bCs/>
          <w:color w:val="1B5E20"/>
          <w:sz w:val="32"/>
          <w:szCs w:val="32"/>
        </w:rPr>
        <w:t xml:space="preserve">2. Key Policy Areas</w:t>
      </w:r>
    </w:p>
    <w:p>
      <w:pPr>
        <w:pStyle w:val="Heading2"/>
      </w:pPr>
      <w:r>
        <w:rPr>
          <w:rFonts w:ascii="Arial" w:cs="Arial" w:eastAsia="Arial" w:hAnsi="Arial"/>
          <w:b/>
          <w:bCs/>
          <w:color w:val="388E3C"/>
          <w:sz w:val="26"/>
          <w:szCs w:val="26"/>
        </w:rPr>
        <w:t xml:space="preserve">2.1 Data Classification Policy</w:t>
      </w:r>
    </w:p>
    <w:p>
      <w:pPr>
        <w:spacing w:after="140"/>
      </w:pPr>
      <w:r>
        <w:rPr>
          <w:rFonts w:ascii="Arial" w:cs="Arial" w:eastAsia="Arial" w:hAnsi="Arial"/>
          <w:sz w:val="22"/>
          <w:szCs w:val="22"/>
        </w:rPr>
        <w:t xml:space="preserve">All organizational data is classified into four tiers, with controls applied proportionally to sensitivity:</w:t>
      </w:r>
    </w:p>
    <w:p>
      <w:pPr>
        <w:pStyle w:val="ListParagraph"/>
        <w:numPr>
          <w:ilvl w:val="0"/>
          <w:numId w:val="2"/>
        </w:numPr>
        <w:spacing w:after="80"/>
      </w:pPr>
      <w:r>
        <w:rPr>
          <w:rFonts w:ascii="Arial" w:cs="Arial" w:eastAsia="Arial" w:hAnsi="Arial"/>
          <w:sz w:val="22"/>
          <w:szCs w:val="22"/>
        </w:rPr>
        <w:t xml:space="preserve">Restricted (Tier 1): PHI, PII, research subject data, genetic data, mental health records. Access requires explicit role assignment, MFA, and manager approval. Encrypted at rest and in transit with CMK. Never stored on personal devices or cloud drives.</w:t>
      </w:r>
    </w:p>
    <w:p>
      <w:pPr>
        <w:pStyle w:val="ListParagraph"/>
        <w:numPr>
          <w:ilvl w:val="0"/>
          <w:numId w:val="2"/>
        </w:numPr>
        <w:spacing w:after="80"/>
      </w:pPr>
      <w:r>
        <w:rPr>
          <w:rFonts w:ascii="Arial" w:cs="Arial" w:eastAsia="Arial" w:hAnsi="Arial"/>
          <w:sz w:val="22"/>
          <w:szCs w:val="22"/>
        </w:rPr>
        <w:t xml:space="preserve">Confidential (Tier 2): De-identified research datasets, aggregate clinical data, financial records. Access via approved organizational systems only; DLP policies prevent unauthorized exfiltration.</w:t>
      </w:r>
    </w:p>
    <w:p>
      <w:pPr>
        <w:pStyle w:val="ListParagraph"/>
        <w:numPr>
          <w:ilvl w:val="0"/>
          <w:numId w:val="2"/>
        </w:numPr>
        <w:spacing w:after="80"/>
      </w:pPr>
      <w:r>
        <w:rPr>
          <w:rFonts w:ascii="Arial" w:cs="Arial" w:eastAsia="Arial" w:hAnsi="Arial"/>
          <w:sz w:val="22"/>
          <w:szCs w:val="22"/>
        </w:rPr>
        <w:t xml:space="preserve">Internal (Tier 3): Operational reports, internal communications, non-sensitive research summaries. Standard access controls apply; accessible to authenticated employees.</w:t>
      </w:r>
    </w:p>
    <w:p>
      <w:pPr>
        <w:pStyle w:val="ListParagraph"/>
        <w:numPr>
          <w:ilvl w:val="0"/>
          <w:numId w:val="2"/>
        </w:numPr>
        <w:spacing w:after="80"/>
      </w:pPr>
      <w:r>
        <w:rPr>
          <w:rFonts w:ascii="Arial" w:cs="Arial" w:eastAsia="Arial" w:hAnsi="Arial"/>
          <w:sz w:val="22"/>
          <w:szCs w:val="22"/>
        </w:rPr>
        <w:t xml:space="preserve">Public (Tier 4): Published research, public health reports, approved press releases. No access restrictions; reviewed by Communications before release.</w:t>
      </w:r>
    </w:p>
    <w:p>
      <w:pPr>
        <w:spacing w:after="140"/>
      </w:pPr>
      <w:r>
        <w:rPr>
          <w:rFonts w:ascii="Arial" w:cs="Arial" w:eastAsia="Arial" w:hAnsi="Arial"/>
          <w:sz w:val="22"/>
          <w:szCs w:val="22"/>
        </w:rPr>
        <w:t xml:space="preserve">Microsoft Purview automatically applies sensitivity labels based on content inspection; labels are enforced across Microsoft 365, Azure Storage, and integrated research platforms.</w:t>
      </w:r>
    </w:p>
    <w:p>
      <w:pPr>
        <w:pStyle w:val="Heading2"/>
      </w:pPr>
      <w:r>
        <w:rPr>
          <w:rFonts w:ascii="Arial" w:cs="Arial" w:eastAsia="Arial" w:hAnsi="Arial"/>
          <w:b/>
          <w:bCs/>
          <w:color w:val="388E3C"/>
          <w:sz w:val="26"/>
          <w:szCs w:val="26"/>
        </w:rPr>
        <w:t xml:space="preserve">2.2 Access Control Policy</w:t>
      </w:r>
    </w:p>
    <w:p>
      <w:pPr>
        <w:pStyle w:val="ListParagraph"/>
        <w:numPr>
          <w:ilvl w:val="0"/>
          <w:numId w:val="2"/>
        </w:numPr>
        <w:spacing w:after="80"/>
      </w:pPr>
      <w:r>
        <w:rPr>
          <w:rFonts w:ascii="Arial" w:cs="Arial" w:eastAsia="Arial" w:hAnsi="Arial"/>
          <w:sz w:val="22"/>
          <w:szCs w:val="22"/>
        </w:rPr>
        <w:t xml:space="preserve">Least Privilege Principle: Users receive only the minimum access required to perform assigned duties. Access is role-based and project-scoped; no broad 'researcher access' grants.</w:t>
      </w:r>
    </w:p>
    <w:p>
      <w:pPr>
        <w:pStyle w:val="ListParagraph"/>
        <w:numPr>
          <w:ilvl w:val="0"/>
          <w:numId w:val="2"/>
        </w:numPr>
        <w:spacing w:after="80"/>
      </w:pPr>
      <w:r>
        <w:rPr>
          <w:rFonts w:ascii="Arial" w:cs="Arial" w:eastAsia="Arial" w:hAnsi="Arial"/>
          <w:sz w:val="22"/>
          <w:szCs w:val="22"/>
        </w:rPr>
        <w:t xml:space="preserve">Access Review Cadence: Quarterly access reviews for all Restricted and Confidential data. Automated review workflows in Microsoft Entra ID; managers certify or revoke access within 14 days.</w:t>
      </w:r>
    </w:p>
    <w:p>
      <w:pPr>
        <w:pStyle w:val="ListParagraph"/>
        <w:numPr>
          <w:ilvl w:val="0"/>
          <w:numId w:val="2"/>
        </w:numPr>
        <w:spacing w:after="80"/>
      </w:pPr>
      <w:r>
        <w:rPr>
          <w:rFonts w:ascii="Arial" w:cs="Arial" w:eastAsia="Arial" w:hAnsi="Arial"/>
          <w:sz w:val="22"/>
          <w:szCs w:val="22"/>
        </w:rPr>
        <w:t xml:space="preserve">Privileged Access: All administrative and elevated accounts managed through PIM with JIT activation, dual approval requirement, and maximum 8-hour session windows.</w:t>
      </w:r>
    </w:p>
    <w:p>
      <w:pPr>
        <w:pStyle w:val="ListParagraph"/>
        <w:numPr>
          <w:ilvl w:val="0"/>
          <w:numId w:val="2"/>
        </w:numPr>
        <w:spacing w:after="80"/>
      </w:pPr>
      <w:r>
        <w:rPr>
          <w:rFonts w:ascii="Arial" w:cs="Arial" w:eastAsia="Arial" w:hAnsi="Arial"/>
          <w:sz w:val="22"/>
          <w:szCs w:val="22"/>
        </w:rPr>
        <w:t xml:space="preserve">External Access: International researchers and external collaborators use B2B federation accounts with access scoped to specific datasets and automatically expiring upon project completion date.</w:t>
      </w:r>
    </w:p>
    <w:p>
      <w:pPr>
        <w:pStyle w:val="Heading2"/>
      </w:pPr>
      <w:r>
        <w:rPr>
          <w:rFonts w:ascii="Arial" w:cs="Arial" w:eastAsia="Arial" w:hAnsi="Arial"/>
          <w:b/>
          <w:bCs/>
          <w:color w:val="388E3C"/>
          <w:sz w:val="26"/>
          <w:szCs w:val="26"/>
        </w:rPr>
        <w:t xml:space="preserve">2.3 Encryption Standards</w:t>
      </w:r>
    </w:p>
    <w:p>
      <w:pPr>
        <w:pStyle w:val="ListParagraph"/>
        <w:numPr>
          <w:ilvl w:val="0"/>
          <w:numId w:val="2"/>
        </w:numPr>
        <w:spacing w:after="80"/>
      </w:pPr>
      <w:r>
        <w:rPr>
          <w:rFonts w:ascii="Arial" w:cs="Arial" w:eastAsia="Arial" w:hAnsi="Arial"/>
          <w:sz w:val="22"/>
          <w:szCs w:val="22"/>
        </w:rPr>
        <w:t xml:space="preserve">All Restricted data encrypted with AES-256 using Customer-Managed Keys stored in Azure Key Vault HSM (FIPS 140-2 Level 3).</w:t>
      </w:r>
    </w:p>
    <w:p>
      <w:pPr>
        <w:pStyle w:val="ListParagraph"/>
        <w:numPr>
          <w:ilvl w:val="0"/>
          <w:numId w:val="2"/>
        </w:numPr>
        <w:spacing w:after="80"/>
      </w:pPr>
      <w:r>
        <w:rPr>
          <w:rFonts w:ascii="Arial" w:cs="Arial" w:eastAsia="Arial" w:hAnsi="Arial"/>
          <w:sz w:val="22"/>
          <w:szCs w:val="22"/>
        </w:rPr>
        <w:t xml:space="preserve">All data transmitted over networks protected with TLS 1.3 minimum; TLS 1.0 and 1.1 explicitly disabled across all services.</w:t>
      </w:r>
    </w:p>
    <w:p>
      <w:pPr>
        <w:pStyle w:val="ListParagraph"/>
        <w:numPr>
          <w:ilvl w:val="0"/>
          <w:numId w:val="2"/>
        </w:numPr>
        <w:spacing w:after="80"/>
      </w:pPr>
      <w:r>
        <w:rPr>
          <w:rFonts w:ascii="Arial" w:cs="Arial" w:eastAsia="Arial" w:hAnsi="Arial"/>
          <w:sz w:val="22"/>
          <w:szCs w:val="22"/>
        </w:rPr>
        <w:t xml:space="preserve">Key rotation performed automatically every 90 days; manual rotation triggered within 24 hours upon any personnel departure from key custodian roles.</w:t>
      </w:r>
    </w:p>
    <w:p>
      <w:pPr>
        <w:pStyle w:val="ListParagraph"/>
        <w:numPr>
          <w:ilvl w:val="0"/>
          <w:numId w:val="2"/>
        </w:numPr>
        <w:spacing w:after="80"/>
      </w:pPr>
      <w:r>
        <w:rPr>
          <w:rFonts w:ascii="Arial" w:cs="Arial" w:eastAsia="Arial" w:hAnsi="Arial"/>
          <w:sz w:val="22"/>
          <w:szCs w:val="22"/>
        </w:rPr>
        <w:t xml:space="preserve">Removable media encryption required for any portable storage containing Restricted data; enforcement via endpoint DLP policies.</w:t>
      </w:r>
    </w:p>
    <w:p>
      <w:pPr>
        <w:pStyle w:val="Heading2"/>
      </w:pPr>
      <w:r>
        <w:rPr>
          <w:rFonts w:ascii="Arial" w:cs="Arial" w:eastAsia="Arial" w:hAnsi="Arial"/>
          <w:b/>
          <w:bCs/>
          <w:color w:val="388E3C"/>
          <w:sz w:val="26"/>
          <w:szCs w:val="26"/>
        </w:rPr>
        <w:t xml:space="preserve">2.4 Incident Response and Breach Notification</w:t>
      </w:r>
    </w:p>
    <w:p>
      <w:pPr>
        <w:pStyle w:val="ListParagraph"/>
        <w:numPr>
          <w:ilvl w:val="0"/>
          <w:numId w:val="2"/>
        </w:numPr>
        <w:spacing w:after="80"/>
      </w:pPr>
      <w:r>
        <w:rPr>
          <w:rFonts w:ascii="Arial" w:cs="Arial" w:eastAsia="Arial" w:hAnsi="Arial"/>
          <w:sz w:val="22"/>
          <w:szCs w:val="22"/>
        </w:rPr>
        <w:t xml:space="preserve">Detection: Microsoft Sentinel SIEM monitors for indicators of compromise 24/7. Automated alert triage assigns severity (Critical, High, Medium, Low) within 15 minutes of detection.</w:t>
      </w:r>
    </w:p>
    <w:p>
      <w:pPr>
        <w:pStyle w:val="ListParagraph"/>
        <w:numPr>
          <w:ilvl w:val="0"/>
          <w:numId w:val="2"/>
        </w:numPr>
        <w:spacing w:after="80"/>
      </w:pPr>
      <w:r>
        <w:rPr>
          <w:rFonts w:ascii="Arial" w:cs="Arial" w:eastAsia="Arial" w:hAnsi="Arial"/>
          <w:sz w:val="22"/>
          <w:szCs w:val="22"/>
        </w:rPr>
        <w:t xml:space="preserve">Containment and Eradication: Critical incidents trigger automated containment playbooks (account suspension, network isolation) within 30 minutes. Forensic preservation of logs and evidence completed before remediation.</w:t>
      </w:r>
    </w:p>
    <w:p>
      <w:pPr>
        <w:pStyle w:val="ListParagraph"/>
        <w:numPr>
          <w:ilvl w:val="0"/>
          <w:numId w:val="2"/>
        </w:numPr>
        <w:spacing w:after="80"/>
      </w:pPr>
      <w:r>
        <w:rPr>
          <w:rFonts w:ascii="Arial" w:cs="Arial" w:eastAsia="Arial" w:hAnsi="Arial"/>
          <w:sz w:val="22"/>
          <w:szCs w:val="22"/>
        </w:rPr>
        <w:t xml:space="preserve">HIPAA Breach Notification: Notified to HHS within 60 days of breach discovery. Affected individuals notified within 60 days. Breaches affecting more than 500 individuals reported to prominent media in the affected state.</w:t>
      </w:r>
    </w:p>
    <w:p>
      <w:pPr>
        <w:pStyle w:val="ListParagraph"/>
        <w:numPr>
          <w:ilvl w:val="0"/>
          <w:numId w:val="2"/>
        </w:numPr>
        <w:spacing w:after="80"/>
      </w:pPr>
      <w:r>
        <w:rPr>
          <w:rFonts w:ascii="Arial" w:cs="Arial" w:eastAsia="Arial" w:hAnsi="Arial"/>
          <w:sz w:val="22"/>
          <w:szCs w:val="22"/>
        </w:rPr>
        <w:t xml:space="preserve">GDPR Breach Notification: Supervisory authority notified within 72 hours of discovery (where feasible); affected data subjects notified without undue delay where breach results in high risk.</w:t>
      </w:r>
    </w:p>
    <w:p>
      <w:pPr>
        <w:pStyle w:val="ListParagraph"/>
        <w:numPr>
          <w:ilvl w:val="0"/>
          <w:numId w:val="2"/>
        </w:numPr>
        <w:spacing w:after="80"/>
      </w:pPr>
      <w:r>
        <w:rPr>
          <w:rFonts w:ascii="Arial" w:cs="Arial" w:eastAsia="Arial" w:hAnsi="Arial"/>
          <w:sz w:val="22"/>
          <w:szCs w:val="22"/>
        </w:rPr>
        <w:t xml:space="preserve">Post-Incident Review: Root cause analysis completed within 30 days; lessons learned documented and governance policies updated accordingly.</w:t>
      </w:r>
    </w:p>
    <w:p>
      <w:pPr>
        <w:pStyle w:val="Heading2"/>
      </w:pPr>
      <w:r>
        <w:rPr>
          <w:rFonts w:ascii="Arial" w:cs="Arial" w:eastAsia="Arial" w:hAnsi="Arial"/>
          <w:b/>
          <w:bCs/>
          <w:color w:val="388E3C"/>
          <w:sz w:val="26"/>
          <w:szCs w:val="26"/>
        </w:rPr>
        <w:t xml:space="preserve">2.5 Consent Management Framework</w:t>
      </w:r>
    </w:p>
    <w:p>
      <w:pPr>
        <w:pStyle w:val="ListParagraph"/>
        <w:numPr>
          <w:ilvl w:val="0"/>
          <w:numId w:val="2"/>
        </w:numPr>
        <w:spacing w:after="80"/>
      </w:pPr>
      <w:r>
        <w:rPr>
          <w:rFonts w:ascii="Arial" w:cs="Arial" w:eastAsia="Arial" w:hAnsi="Arial"/>
          <w:sz w:val="22"/>
          <w:szCs w:val="22"/>
        </w:rPr>
        <w:t xml:space="preserve">Patient Portal provides granular consent controls aligned with HIPAA Authorization requirements and GDPR consent standards (freely given, specific, informed, unambiguous).</w:t>
      </w:r>
    </w:p>
    <w:p>
      <w:pPr>
        <w:pStyle w:val="ListParagraph"/>
        <w:numPr>
          <w:ilvl w:val="0"/>
          <w:numId w:val="2"/>
        </w:numPr>
        <w:spacing w:after="80"/>
      </w:pPr>
      <w:r>
        <w:rPr>
          <w:rFonts w:ascii="Arial" w:cs="Arial" w:eastAsia="Arial" w:hAnsi="Arial"/>
          <w:sz w:val="22"/>
          <w:szCs w:val="22"/>
        </w:rPr>
        <w:t xml:space="preserve">Consent categories managed separately: Treatment, Research Participation, AI/ML Model Training, Secondary Analytics Use, Third-Party Data Sharing.</w:t>
      </w:r>
    </w:p>
    <w:p>
      <w:pPr>
        <w:pStyle w:val="ListParagraph"/>
        <w:numPr>
          <w:ilvl w:val="0"/>
          <w:numId w:val="2"/>
        </w:numPr>
        <w:spacing w:after="80"/>
      </w:pPr>
      <w:r>
        <w:rPr>
          <w:rFonts w:ascii="Arial" w:cs="Arial" w:eastAsia="Arial" w:hAnsi="Arial"/>
          <w:sz w:val="22"/>
          <w:szCs w:val="22"/>
        </w:rPr>
        <w:t xml:space="preserve">Consent preferences stored as FHIR Consent resources, synchronized in real time with data access controls — withdrawal of consent triggers automated data access revocation within 24 hours.</w:t>
      </w:r>
    </w:p>
    <w:p>
      <w:pPr>
        <w:pStyle w:val="ListParagraph"/>
        <w:numPr>
          <w:ilvl w:val="0"/>
          <w:numId w:val="2"/>
        </w:numPr>
        <w:spacing w:after="80"/>
      </w:pPr>
      <w:r>
        <w:rPr>
          <w:rFonts w:ascii="Arial" w:cs="Arial" w:eastAsia="Arial" w:hAnsi="Arial"/>
          <w:sz w:val="22"/>
          <w:szCs w:val="22"/>
        </w:rPr>
        <w:t xml:space="preserve">Patients may update consent preferences at any time through the Patient Portal, by phone, or in writing. All changes timestamped and recorded in the consent audit log.</w:t>
      </w:r>
    </w:p>
    <w:p>
      <w:pPr>
        <w:pStyle w:val="Heading2"/>
      </w:pPr>
      <w:r>
        <w:rPr>
          <w:rFonts w:ascii="Arial" w:cs="Arial" w:eastAsia="Arial" w:hAnsi="Arial"/>
          <w:b/>
          <w:bCs/>
          <w:color w:val="388E3C"/>
          <w:sz w:val="26"/>
          <w:szCs w:val="26"/>
        </w:rPr>
        <w:t xml:space="preserve">2.6 Data Retention and Disposal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2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Legal Basis</w:t>
            </w:r>
          </w:p>
        </w:tc>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Disposal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Medical Records (PHI)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years from last treatment (HIPAA minimum)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CFR §164.530(j)</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Cryptographic erasure (Key Vault key destruction)</w:t>
            </w:r>
          </w:p>
        </w:tc>
      </w:tr>
      <w:tr>
        <w:tc>
          <w:tcPr>
            <w:tcW w:type="dxa" w:w="24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Research Data</w:t>
            </w:r>
          </w:p>
        </w:tc>
        <w:tc>
          <w:tcPr>
            <w:tcW w:type="dxa" w:w="24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10 years post-publication or grant closure</w:t>
            </w:r>
          </w:p>
        </w:tc>
        <w:tc>
          <w:tcPr>
            <w:tcW w:type="dxa" w:w="21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NIH Data Sharing Policy; IRB protocol</w:t>
            </w:r>
          </w:p>
        </w:tc>
        <w:tc>
          <w:tcPr>
            <w:tcW w:type="dxa" w:w="24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DoD 5220.22-M overwrite + Certificate of Destruction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years (HIPAA + Sarbanes-Oxley alignment)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HIPAA §164.530(j); institutional policy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deletion from Log Analytics; Confidential Ledger record preserved</w:t>
            </w:r>
          </w:p>
        </w:tc>
      </w:tr>
    </w:tbl>
    <w:p>
      <w:r>
        <w:t xml:space="preserve"/>
      </w:r>
    </w:p>
    <w:p>
      <w:pPr>
        <w:pStyle w:val="Heading2"/>
      </w:pPr>
      <w:r>
        <w:rPr>
          <w:rFonts w:ascii="Arial" w:cs="Arial" w:eastAsia="Arial" w:hAnsi="Arial"/>
          <w:b/>
          <w:bCs/>
          <w:color w:val="388E3C"/>
          <w:sz w:val="26"/>
          <w:szCs w:val="26"/>
        </w:rPr>
        <w:t xml:space="preserve">2.7 Third-Party Data Sharing Policy</w:t>
      </w:r>
    </w:p>
    <w:p>
      <w:pPr>
        <w:pStyle w:val="ListParagraph"/>
        <w:numPr>
          <w:ilvl w:val="0"/>
          <w:numId w:val="2"/>
        </w:numPr>
        <w:spacing w:after="80"/>
      </w:pPr>
      <w:r>
        <w:rPr>
          <w:rFonts w:ascii="Arial" w:cs="Arial" w:eastAsia="Arial" w:hAnsi="Arial"/>
          <w:sz w:val="22"/>
          <w:szCs w:val="22"/>
        </w:rPr>
        <w:t xml:space="preserve">All third-party data sharing arrangements require a signed Business Associate Agreement (BAA) for HIPAA-covered data and a Data Processing Agreement (DPA) with Standard Contractual Clauses for international transfers under GDPR.</w:t>
      </w:r>
    </w:p>
    <w:p>
      <w:pPr>
        <w:pStyle w:val="ListParagraph"/>
        <w:numPr>
          <w:ilvl w:val="0"/>
          <w:numId w:val="2"/>
        </w:numPr>
        <w:spacing w:after="80"/>
      </w:pPr>
      <w:r>
        <w:rPr>
          <w:rFonts w:ascii="Arial" w:cs="Arial" w:eastAsia="Arial" w:hAnsi="Arial"/>
          <w:sz w:val="22"/>
          <w:szCs w:val="22"/>
        </w:rPr>
        <w:t xml:space="preserve">Vendor security assessments conducted before contract execution; annual reassessment required. Security questionnaire aligned with NIST SP 800-66 and ISO 27001 controls.</w:t>
      </w:r>
    </w:p>
    <w:p>
      <w:pPr>
        <w:pStyle w:val="ListParagraph"/>
        <w:numPr>
          <w:ilvl w:val="0"/>
          <w:numId w:val="2"/>
        </w:numPr>
        <w:spacing w:after="80"/>
      </w:pPr>
      <w:r>
        <w:rPr>
          <w:rFonts w:ascii="Arial" w:cs="Arial" w:eastAsia="Arial" w:hAnsi="Arial"/>
          <w:sz w:val="22"/>
          <w:szCs w:val="22"/>
        </w:rPr>
        <w:t xml:space="preserve">Data shared with third parties is limited to the minimum dataset necessary for the defined purpose; purpose limitation enforced contractually and technically.</w:t>
      </w:r>
    </w:p>
    <w:p>
      <w:pPr>
        <w:pStyle w:val="ListParagraph"/>
        <w:numPr>
          <w:ilvl w:val="0"/>
          <w:numId w:val="2"/>
        </w:numPr>
        <w:spacing w:after="80"/>
      </w:pPr>
      <w:r>
        <w:rPr>
          <w:rFonts w:ascii="Arial" w:cs="Arial" w:eastAsia="Arial" w:hAnsi="Arial"/>
          <w:sz w:val="22"/>
          <w:szCs w:val="22"/>
        </w:rPr>
        <w:t xml:space="preserve">Subprocessor disclosures published and maintained in the organization's data processing register; material subprocessor changes communicated to affected parties within 30 days.</w:t>
      </w:r>
    </w:p>
    <w:p>
      <w:r>
        <w:t xml:space="preserve"/>
      </w:r>
    </w:p>
    <w:p>
      <w:pPr>
        <w:pStyle w:val="Heading1"/>
      </w:pPr>
      <w:r>
        <w:rPr>
          <w:rFonts w:ascii="Arial" w:cs="Arial" w:eastAsia="Arial" w:hAnsi="Arial"/>
          <w:b/>
          <w:bCs/>
          <w:color w:val="1B5E20"/>
          <w:sz w:val="32"/>
          <w:szCs w:val="32"/>
        </w:rPr>
        <w:t xml:space="preserve">3. Compliance Mappings</w:t>
      </w:r>
    </w:p>
    <w:p>
      <w:pPr>
        <w:spacing w:after="140"/>
      </w:pPr>
      <w:r>
        <w:rPr>
          <w:rFonts w:ascii="Arial" w:cs="Arial" w:eastAsia="Arial" w:hAnsi="Arial"/>
          <w:sz w:val="22"/>
          <w:szCs w:val="22"/>
        </w:rPr>
        <w:t xml:space="preserve">The governance framework maps to multiple regulatory frameworks simultaneously, enabling unified compliance management:</w:t>
      </w:r>
    </w:p>
    <w:p>
      <w:pPr>
        <w:pStyle w:val="ListParagraph"/>
        <w:numPr>
          <w:ilvl w:val="0"/>
          <w:numId w:val="2"/>
        </w:numPr>
        <w:spacing w:after="80"/>
      </w:pPr>
      <w:r>
        <w:rPr>
          <w:rFonts w:ascii="Arial" w:cs="Arial" w:eastAsia="Arial" w:hAnsi="Arial"/>
          <w:sz w:val="22"/>
          <w:szCs w:val="22"/>
        </w:rPr>
        <w:t xml:space="preserve">HIPAA Privacy Rule (45 CFR Part 164, Subpart E): Addressed through PHI classification controls, minimum necessary standard enforcement, patient rights management in the Patient Portal, and Notice of Privacy Practices maintained on the organization's public website.</w:t>
      </w:r>
    </w:p>
    <w:p>
      <w:pPr>
        <w:pStyle w:val="ListParagraph"/>
        <w:numPr>
          <w:ilvl w:val="0"/>
          <w:numId w:val="2"/>
        </w:numPr>
        <w:spacing w:after="80"/>
      </w:pPr>
      <w:r>
        <w:rPr>
          <w:rFonts w:ascii="Arial" w:cs="Arial" w:eastAsia="Arial" w:hAnsi="Arial"/>
          <w:sz w:val="22"/>
          <w:szCs w:val="22"/>
        </w:rPr>
        <w:t xml:space="preserve">HIPAA Security Rule (45 CFR Part 164, Subpart C): Addressed through the Access Control Policy, Encryption Standards, Incident Response Policy, and Audit Controls implemented in Azure Monitor and Microsoft Sentinel.</w:t>
      </w:r>
    </w:p>
    <w:p>
      <w:pPr>
        <w:pStyle w:val="ListParagraph"/>
        <w:numPr>
          <w:ilvl w:val="0"/>
          <w:numId w:val="2"/>
        </w:numPr>
        <w:spacing w:after="80"/>
      </w:pPr>
      <w:r>
        <w:rPr>
          <w:rFonts w:ascii="Arial" w:cs="Arial" w:eastAsia="Arial" w:hAnsi="Arial"/>
          <w:sz w:val="22"/>
          <w:szCs w:val="22"/>
        </w:rPr>
        <w:t xml:space="preserve">GDPR (EU 2016/679): Addressed through Data Subject Rights workflows (access, rectification, erasure, portability), lawful basis documentation for each processing activity, Data Protection Impact Assessments (DPIAs) for high-risk processing, and international transfer safeguards.</w:t>
      </w:r>
    </w:p>
    <w:p>
      <w:pPr>
        <w:pStyle w:val="ListParagraph"/>
        <w:numPr>
          <w:ilvl w:val="0"/>
          <w:numId w:val="2"/>
        </w:numPr>
        <w:spacing w:after="80"/>
      </w:pPr>
      <w:r>
        <w:rPr>
          <w:rFonts w:ascii="Arial" w:cs="Arial" w:eastAsia="Arial" w:hAnsi="Arial"/>
          <w:sz w:val="22"/>
          <w:szCs w:val="22"/>
        </w:rPr>
        <w:t xml:space="preserve">California Consumer Privacy Act (CCPA) / CPRA: Addressed through consumer rights request workflows, opt-out mechanisms for data selling/sharing, and annual privacy policy updates.</w:t>
      </w:r>
    </w:p>
    <w:p>
      <w:pPr>
        <w:pStyle w:val="ListParagraph"/>
        <w:numPr>
          <w:ilvl w:val="0"/>
          <w:numId w:val="2"/>
        </w:numPr>
        <w:spacing w:after="80"/>
      </w:pPr>
      <w:r>
        <w:rPr>
          <w:rFonts w:ascii="Arial" w:cs="Arial" w:eastAsia="Arial" w:hAnsi="Arial"/>
          <w:sz w:val="22"/>
          <w:szCs w:val="22"/>
        </w:rPr>
        <w:t xml:space="preserve">42 CFR Part 2 (Substance Use Disorder Records): Heightened access controls and explicit consent requirements for SUD-related records; segregated storage in FHIR with enhanced sensitivity labels.</w:t>
      </w:r>
    </w:p>
    <w:p>
      <w:r>
        <w:t xml:space="preserve"/>
      </w:r>
    </w:p>
    <w:p>
      <w:pPr>
        <w:pStyle w:val="Heading1"/>
      </w:pPr>
      <w:r>
        <w:rPr>
          <w:rFonts w:ascii="Arial" w:cs="Arial" w:eastAsia="Arial" w:hAnsi="Arial"/>
          <w:b/>
          <w:bCs/>
          <w:color w:val="1B5E20"/>
          <w:sz w:val="32"/>
          <w:szCs w:val="32"/>
        </w:rPr>
        <w:t xml:space="preserve">4. Audit and Monitoring Procedures</w:t>
      </w:r>
    </w:p>
    <w:p>
      <w:pPr>
        <w:pStyle w:val="ListParagraph"/>
        <w:numPr>
          <w:ilvl w:val="0"/>
          <w:numId w:val="2"/>
        </w:numPr>
        <w:spacing w:after="80"/>
      </w:pPr>
      <w:r>
        <w:rPr>
          <w:rFonts w:ascii="Arial" w:cs="Arial" w:eastAsia="Arial" w:hAnsi="Arial"/>
          <w:sz w:val="22"/>
          <w:szCs w:val="22"/>
        </w:rPr>
        <w:t xml:space="preserve">Log Requirements: All access to Restricted and Confidential data logged with user identity, timestamp, resource accessed, action taken, and source IP. Logs retained in Azure Log Analytics for 90 days hot; archived to Azure Storage for 7 years.</w:t>
      </w:r>
    </w:p>
    <w:p>
      <w:pPr>
        <w:pStyle w:val="ListParagraph"/>
        <w:numPr>
          <w:ilvl w:val="0"/>
          <w:numId w:val="2"/>
        </w:numPr>
        <w:spacing w:after="80"/>
      </w:pPr>
      <w:r>
        <w:rPr>
          <w:rFonts w:ascii="Arial" w:cs="Arial" w:eastAsia="Arial" w:hAnsi="Arial"/>
          <w:sz w:val="22"/>
          <w:szCs w:val="22"/>
        </w:rPr>
        <w:t xml:space="preserve">Review Cadence: Automated daily review of anomaly detection alerts; weekly review of access reports by Data Stewards; monthly compliance dashboard review by DGC; quarterly external audit by certified third-party auditor (HITRUST, SOC 2 Type II).</w:t>
      </w:r>
    </w:p>
    <w:p>
      <w:pPr>
        <w:pStyle w:val="ListParagraph"/>
        <w:numPr>
          <w:ilvl w:val="0"/>
          <w:numId w:val="2"/>
        </w:numPr>
        <w:spacing w:after="80"/>
      </w:pPr>
      <w:r>
        <w:rPr>
          <w:rFonts w:ascii="Arial" w:cs="Arial" w:eastAsia="Arial" w:hAnsi="Arial"/>
          <w:sz w:val="22"/>
          <w:szCs w:val="22"/>
        </w:rPr>
        <w:t xml:space="preserve">Investigation Procedures: Anomalous access events escalated to Privacy Office within 4 hours of detection; formal investigation opened within 24 hours for potential breaches; forensic preservation completes before any remediation action.</w:t>
      </w:r>
    </w:p>
    <w:p>
      <w:pPr>
        <w:pStyle w:val="ListParagraph"/>
        <w:numPr>
          <w:ilvl w:val="0"/>
          <w:numId w:val="2"/>
        </w:numPr>
        <w:spacing w:after="80"/>
      </w:pPr>
      <w:r>
        <w:rPr>
          <w:rFonts w:ascii="Arial" w:cs="Arial" w:eastAsia="Arial" w:hAnsi="Arial"/>
          <w:sz w:val="22"/>
          <w:szCs w:val="22"/>
        </w:rPr>
        <w:t xml:space="preserve">Remediation Tracking: All identified compliance gaps logged in the Governance Risk Register with assigned owner, target remediation date, and current status. DGC reviews open items monthly.</w:t>
      </w:r>
    </w:p>
    <w:p>
      <w:r>
        <w:t xml:space="preserve"/>
      </w:r>
    </w:p>
    <w:p>
      <w:pPr>
        <w:pStyle w:val="Heading1"/>
      </w:pPr>
      <w:r>
        <w:rPr>
          <w:rFonts w:ascii="Arial" w:cs="Arial" w:eastAsia="Arial" w:hAnsi="Arial"/>
          <w:b/>
          <w:bCs/>
          <w:color w:val="1B5E20"/>
          <w:sz w:val="32"/>
          <w:szCs w:val="32"/>
        </w:rPr>
        <w:t xml:space="preserve">5. Training and Awareness Program</w:t>
      </w:r>
    </w:p>
    <w:p>
      <w:pPr>
        <w:pStyle w:val="ListParagraph"/>
        <w:numPr>
          <w:ilvl w:val="0"/>
          <w:numId w:val="2"/>
        </w:numPr>
        <w:spacing w:after="80"/>
      </w:pPr>
      <w:r>
        <w:rPr>
          <w:rFonts w:ascii="Arial" w:cs="Arial" w:eastAsia="Arial" w:hAnsi="Arial"/>
          <w:sz w:val="22"/>
          <w:szCs w:val="22"/>
        </w:rPr>
        <w:t xml:space="preserve">Annual HIPAA Awareness Training: All staff; covers Privacy Rule, Security Rule, breach reporting, and patient rights. Completion tracked in the Learning Management System (LMS); non-completion triggers automatic escalation to department managers.</w:t>
      </w:r>
    </w:p>
    <w:p>
      <w:pPr>
        <w:pStyle w:val="ListParagraph"/>
        <w:numPr>
          <w:ilvl w:val="0"/>
          <w:numId w:val="2"/>
        </w:numPr>
        <w:spacing w:after="80"/>
      </w:pPr>
      <w:r>
        <w:rPr>
          <w:rFonts w:ascii="Arial" w:cs="Arial" w:eastAsia="Arial" w:hAnsi="Arial"/>
          <w:sz w:val="22"/>
          <w:szCs w:val="22"/>
        </w:rPr>
        <w:t xml:space="preserve">Role-Based Security Training: Clinicians receive PHI handling training; Researchers receive de-identification, consent, and IRB requirement training; IT staff receive Security Rule technical safeguards training; Administrators receive governance and policy training. Conducted at onboarding and annually.</w:t>
      </w:r>
    </w:p>
    <w:p>
      <w:pPr>
        <w:pStyle w:val="ListParagraph"/>
        <w:numPr>
          <w:ilvl w:val="0"/>
          <w:numId w:val="2"/>
        </w:numPr>
        <w:spacing w:after="80"/>
      </w:pPr>
      <w:r>
        <w:rPr>
          <w:rFonts w:ascii="Arial" w:cs="Arial" w:eastAsia="Arial" w:hAnsi="Arial"/>
          <w:sz w:val="22"/>
          <w:szCs w:val="22"/>
        </w:rPr>
        <w:t xml:space="preserve">Security Awareness Program: Monthly phishing simulation campaigns; quarterly security awareness newsletters; immediate targeted training triggered for users who fail phishing simulations. Metrics reported to DGC quarterly.</w:t>
      </w:r>
    </w:p>
    <w:p>
      <w:pPr>
        <w:pStyle w:val="ListParagraph"/>
        <w:numPr>
          <w:ilvl w:val="0"/>
          <w:numId w:val="2"/>
        </w:numPr>
        <w:spacing w:after="80"/>
      </w:pPr>
      <w:r>
        <w:rPr>
          <w:rFonts w:ascii="Arial" w:cs="Arial" w:eastAsia="Arial" w:hAnsi="Arial"/>
          <w:sz w:val="22"/>
          <w:szCs w:val="22"/>
        </w:rPr>
        <w:t xml:space="preserve">Quick Reference Guides: Laminated quick reference cards distributed to all clinical stations covering: what constitutes PHI, how to report a suspected breach, and prohibited data sharing behaviors (personal cloud drives, unencrypted email). Guides reviewed and reissued annually or following policy changes.</w:t>
      </w:r>
    </w:p>
    <w:p>
      <w:pPr>
        <w:pStyle w:val="ListParagraph"/>
        <w:numPr>
          <w:ilvl w:val="0"/>
          <w:numId w:val="2"/>
        </w:numPr>
        <w:spacing w:after="80"/>
      </w:pPr>
      <w:r>
        <w:rPr>
          <w:rFonts w:ascii="Arial" w:cs="Arial" w:eastAsia="Arial" w:hAnsi="Arial"/>
          <w:sz w:val="22"/>
          <w:szCs w:val="22"/>
        </w:rPr>
        <w:t xml:space="preserve">Researcher Onboarding: All new researchers complete a data governance orientation before receiving data access credentials. Topics include: data classification, consent requirements, prohibited data export methods, de-identification validation requirements, and IRB responsibilities.</w:t>
      </w:r>
    </w:p>
    <w:p>
      <w:r>
        <w:t xml:space="preserve"/>
      </w:r>
    </w:p>
    <w:p>
      <w:pPr>
        <w:pBdr>
          <w:top w:val="single" w:color="388E3C" w:sz="6"/>
        </w:pBdr>
        <w:spacing w:before="400"/>
        <w:jc w:val="center"/>
      </w:pPr>
      <w:r>
        <w:rPr>
          <w:rFonts w:ascii="Arial" w:cs="Arial" w:eastAsia="Arial" w:hAnsi="Arial"/>
          <w:i/>
          <w:iCs/>
          <w:color w:val="595959"/>
          <w:sz w:val="18"/>
          <w:szCs w:val="18"/>
        </w:rPr>
        <w:t xml:space="preserve">Confidential | Healthcare Data Governance and Security System Portfolio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2026-03-27T05:47:02.906Z</dcterms:created>
  <dcterms:modified xsi:type="dcterms:W3CDTF">2026-03-27T05:47:02.907Z</dcterms:modified>
</cp:coreProperties>
</file>

<file path=docProps/custom.xml><?xml version="1.0" encoding="utf-8"?>
<Properties xmlns="http://schemas.openxmlformats.org/officeDocument/2006/custom-properties" xmlns:vt="http://schemas.openxmlformats.org/officeDocument/2006/docPropsVTypes"/>
</file>