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A148C"/>
          <w:sz w:val="40"/>
          <w:szCs w:val="40"/>
        </w:rPr>
        <w:t xml:space="preserve">Healthcare Data Governance and Security System</w:t>
      </w:r>
    </w:p>
    <w:p>
      <w:pPr>
        <w:spacing w:after="80"/>
        <w:jc w:val="center"/>
      </w:pPr>
      <w:r>
        <w:rPr>
          <w:rFonts w:ascii="Arial" w:cs="Arial" w:eastAsia="Arial" w:hAnsi="Arial"/>
          <w:b/>
          <w:bCs/>
          <w:color w:val="7B1FA2"/>
          <w:sz w:val="30"/>
          <w:szCs w:val="30"/>
        </w:rPr>
        <w:t xml:space="preserve">Area 3: Privacy-Preserving Analytics System</w:t>
      </w:r>
    </w:p>
    <w:p>
      <w:pPr>
        <w:spacing w:after="300"/>
        <w:jc w:val="center"/>
      </w:pPr>
      <w:r>
        <w:rPr>
          <w:rFonts w:ascii="Arial" w:cs="Arial" w:eastAsia="Arial" w:hAnsi="Arial"/>
          <w:i/>
          <w:iCs/>
          <w:color w:val="595959"/>
          <w:sz w:val="20"/>
          <w:szCs w:val="20"/>
        </w:rPr>
        <w:t xml:space="preserve">Academic Medical Center | Lead Healthcare Data Security Architect | March 2026</w:t>
      </w:r>
    </w:p>
    <w:p>
      <w:pPr>
        <w:pStyle w:val="Heading1"/>
      </w:pPr>
      <w:r>
        <w:rPr>
          <w:rFonts w:ascii="Arial" w:cs="Arial" w:eastAsia="Arial" w:hAnsi="Arial"/>
          <w:b/>
          <w:bCs/>
          <w:color w:val="4A148C"/>
          <w:sz w:val="32"/>
          <w:szCs w:val="32"/>
        </w:rPr>
        <w:t xml:space="preserve">1. De-Identification Pipeline</w:t>
      </w:r>
    </w:p>
    <w:p>
      <w:pPr>
        <w:spacing w:after="140"/>
      </w:pPr>
      <w:r>
        <w:rPr>
          <w:rFonts w:ascii="Arial" w:cs="Arial" w:eastAsia="Arial" w:hAnsi="Arial"/>
          <w:sz w:val="22"/>
          <w:szCs w:val="22"/>
        </w:rPr>
        <w:t xml:space="preserve">The de-identification pipeline is a multi-stage, automated workflow that ensures all research and analytics datasets meet or exceed HIPAA Safe Harbor and Expert Determination standards before any data leaves the clinical zone. The pipeline is implemented using Azure Data Factory orchestration integrated with Azure Health Data Services FHIR export capabilities and Microsoft Presidio for PHI detection.</w:t>
      </w:r>
    </w:p>
    <w:p>
      <w:pPr>
        <w:pStyle w:val="Heading2"/>
      </w:pPr>
      <w:r>
        <w:rPr>
          <w:rFonts w:ascii="Arial" w:cs="Arial" w:eastAsia="Arial" w:hAnsi="Arial"/>
          <w:b/>
          <w:bCs/>
          <w:color w:val="7B1FA2"/>
          <w:sz w:val="26"/>
          <w:szCs w:val="26"/>
        </w:rPr>
        <w:t xml:space="preserve">1.1 PHI Detection</w:t>
      </w:r>
    </w:p>
    <w:p>
      <w:pPr>
        <w:pStyle w:val="ListParagraph"/>
        <w:numPr>
          <w:ilvl w:val="0"/>
          <w:numId w:val="2"/>
        </w:numPr>
        <w:spacing w:after="80"/>
      </w:pPr>
      <w:r>
        <w:rPr>
          <w:rFonts w:ascii="Arial" w:cs="Arial" w:eastAsia="Arial" w:hAnsi="Arial"/>
          <w:sz w:val="22"/>
          <w:szCs w:val="22"/>
        </w:rPr>
        <w:t xml:space="preserve">Microsoft Presidio (open-source PHI detection engine) is deployed within the research pipeline to scan all exported FHIR resources for the 18 HIPAA Safe Harbor identifiers: names, geographic subdivisions smaller than state, dates (other than year), telephone numbers, fax numbers, email addresses, SSNs, MRNs, health plan beneficiary numbers, account numbers, certificate/license numbers, vehicle identifiers, device identifiers, URLs, IP addresses, biometric identifiers, full-face photographs, and any other unique identifying number or code.</w:t>
      </w:r>
    </w:p>
    <w:p>
      <w:pPr>
        <w:pStyle w:val="ListParagraph"/>
        <w:numPr>
          <w:ilvl w:val="0"/>
          <w:numId w:val="2"/>
        </w:numPr>
        <w:spacing w:after="80"/>
      </w:pPr>
      <w:r>
        <w:rPr>
          <w:rFonts w:ascii="Arial" w:cs="Arial" w:eastAsia="Arial" w:hAnsi="Arial"/>
          <w:sz w:val="22"/>
          <w:szCs w:val="22"/>
        </w:rPr>
        <w:t xml:space="preserve">Azure Text Analytics for Health (cognitive services) provides clinical NLP processing to detect PHI embedded within unstructured clinical notes, discharge summaries, and imaging reports — a common failure mode in traditional de-identification approaches.</w:t>
      </w:r>
    </w:p>
    <w:p>
      <w:pPr>
        <w:pStyle w:val="ListParagraph"/>
        <w:numPr>
          <w:ilvl w:val="0"/>
          <w:numId w:val="2"/>
        </w:numPr>
        <w:spacing w:after="80"/>
      </w:pPr>
      <w:r>
        <w:rPr>
          <w:rFonts w:ascii="Arial" w:cs="Arial" w:eastAsia="Arial" w:hAnsi="Arial"/>
          <w:sz w:val="22"/>
          <w:szCs w:val="22"/>
        </w:rPr>
        <w:t xml:space="preserve">Detection results are logged with confidence scores; low-confidence detections trigger human expert review before dataset release.</w:t>
      </w:r>
    </w:p>
    <w:p>
      <w:pPr>
        <w:pStyle w:val="Heading2"/>
      </w:pPr>
      <w:r>
        <w:rPr>
          <w:rFonts w:ascii="Arial" w:cs="Arial" w:eastAsia="Arial" w:hAnsi="Arial"/>
          <w:b/>
          <w:bCs/>
          <w:color w:val="7B1FA2"/>
          <w:sz w:val="26"/>
          <w:szCs w:val="26"/>
        </w:rPr>
        <w:t xml:space="preserve">1.2 Safe Harbor De-Identification</w:t>
      </w:r>
    </w:p>
    <w:p>
      <w:pPr>
        <w:pStyle w:val="ListParagraph"/>
        <w:numPr>
          <w:ilvl w:val="0"/>
          <w:numId w:val="2"/>
        </w:numPr>
        <w:spacing w:after="80"/>
      </w:pPr>
      <w:r>
        <w:rPr>
          <w:rFonts w:ascii="Arial" w:cs="Arial" w:eastAsia="Arial" w:hAnsi="Arial"/>
          <w:sz w:val="22"/>
          <w:szCs w:val="22"/>
        </w:rPr>
        <w:t xml:space="preserve">All 18 Safe Harbor categories are systematically removed or transformed: dates generalized to year-only; geographic data truncated to 3-digit ZIP codes (with sub-populations under 20,000 further generalized); free-text scrubbed of residual identifiers using regex and NLP hybrid processing.</w:t>
      </w:r>
    </w:p>
    <w:p>
      <w:pPr>
        <w:pStyle w:val="ListParagraph"/>
        <w:numPr>
          <w:ilvl w:val="0"/>
          <w:numId w:val="2"/>
        </w:numPr>
        <w:spacing w:after="80"/>
      </w:pPr>
      <w:r>
        <w:rPr>
          <w:rFonts w:ascii="Arial" w:cs="Arial" w:eastAsia="Arial" w:hAnsi="Arial"/>
          <w:sz w:val="22"/>
          <w:szCs w:val="22"/>
        </w:rPr>
        <w:t xml:space="preserve">Date generalization addresses the specific current-state gap where dates of birth were retained in previously 'de-identified' datasets — now a controlled transformation with validation checkpoints.</w:t>
      </w:r>
    </w:p>
    <w:p>
      <w:pPr>
        <w:pStyle w:val="ListParagraph"/>
        <w:numPr>
          <w:ilvl w:val="0"/>
          <w:numId w:val="2"/>
        </w:numPr>
        <w:spacing w:after="80"/>
      </w:pPr>
      <w:r>
        <w:rPr>
          <w:rFonts w:ascii="Arial" w:cs="Arial" w:eastAsia="Arial" w:hAnsi="Arial"/>
          <w:sz w:val="22"/>
          <w:szCs w:val="22"/>
        </w:rPr>
        <w:t xml:space="preserve">Automated remediation replaces removed identifiers with placeholder tokens (e.g., [PATIENT-DOB], [PATIENT-NAME]) to preserve dataset structure while eliminating PHI.</w:t>
      </w:r>
    </w:p>
    <w:p>
      <w:pPr>
        <w:pStyle w:val="Heading2"/>
      </w:pPr>
      <w:r>
        <w:rPr>
          <w:rFonts w:ascii="Arial" w:cs="Arial" w:eastAsia="Arial" w:hAnsi="Arial"/>
          <w:b/>
          <w:bCs/>
          <w:color w:val="7B1FA2"/>
          <w:sz w:val="26"/>
          <w:szCs w:val="26"/>
        </w:rPr>
        <w:t xml:space="preserve">1.3 Expert Determination Pathway</w:t>
      </w:r>
    </w:p>
    <w:p>
      <w:pPr>
        <w:pStyle w:val="ListParagraph"/>
        <w:numPr>
          <w:ilvl w:val="0"/>
          <w:numId w:val="2"/>
        </w:numPr>
        <w:spacing w:after="80"/>
      </w:pPr>
      <w:r>
        <w:rPr>
          <w:rFonts w:ascii="Arial" w:cs="Arial" w:eastAsia="Arial" w:hAnsi="Arial"/>
          <w:sz w:val="22"/>
          <w:szCs w:val="22"/>
        </w:rPr>
        <w:t xml:space="preserve">For research datasets requiring greater analytical utility (e.g., rare disease cohort studies where Safe Harbor would eliminate too much clinical signal), the Expert Determination pathway is available. A qualified statistician assesses re-identification risk using the Arx and sdcMicro frameworks.</w:t>
      </w:r>
    </w:p>
    <w:p>
      <w:pPr>
        <w:pStyle w:val="ListParagraph"/>
        <w:numPr>
          <w:ilvl w:val="0"/>
          <w:numId w:val="2"/>
        </w:numPr>
        <w:spacing w:after="80"/>
      </w:pPr>
      <w:r>
        <w:rPr>
          <w:rFonts w:ascii="Arial" w:cs="Arial" w:eastAsia="Arial" w:hAnsi="Arial"/>
          <w:sz w:val="22"/>
          <w:szCs w:val="22"/>
        </w:rPr>
        <w:t xml:space="preserve">Re-identification risk must be demonstrated to be 'very small' (accepted threshold: population uniqueness below 0.09) before Expert Determination certification is granted.</w:t>
      </w:r>
    </w:p>
    <w:p>
      <w:pPr>
        <w:pStyle w:val="ListParagraph"/>
        <w:numPr>
          <w:ilvl w:val="0"/>
          <w:numId w:val="2"/>
        </w:numPr>
        <w:spacing w:after="80"/>
      </w:pPr>
      <w:r>
        <w:rPr>
          <w:rFonts w:ascii="Arial" w:cs="Arial" w:eastAsia="Arial" w:hAnsi="Arial"/>
          <w:sz w:val="22"/>
          <w:szCs w:val="22"/>
        </w:rPr>
        <w:t xml:space="preserve">Expert Determination certificates are stored in the Azure Confidential Ledger alongside the dataset release record; certificates are renewed annually for ongoing research studies.</w:t>
      </w:r>
    </w:p>
    <w:p>
      <w:pPr>
        <w:pStyle w:val="Heading2"/>
      </w:pPr>
      <w:r>
        <w:rPr>
          <w:rFonts w:ascii="Arial" w:cs="Arial" w:eastAsia="Arial" w:hAnsi="Arial"/>
          <w:b/>
          <w:bCs/>
          <w:color w:val="7B1FA2"/>
          <w:sz w:val="26"/>
          <w:szCs w:val="26"/>
        </w:rPr>
        <w:t xml:space="preserve">1.4 Validation and Quality Control</w:t>
      </w:r>
    </w:p>
    <w:p>
      <w:pPr>
        <w:pStyle w:val="ListParagraph"/>
        <w:numPr>
          <w:ilvl w:val="0"/>
          <w:numId w:val="2"/>
        </w:numPr>
        <w:spacing w:after="80"/>
      </w:pPr>
      <w:r>
        <w:rPr>
          <w:rFonts w:ascii="Arial" w:cs="Arial" w:eastAsia="Arial" w:hAnsi="Arial"/>
          <w:sz w:val="22"/>
          <w:szCs w:val="22"/>
        </w:rPr>
        <w:t xml:space="preserve">Post-de-identification validation runs automated re-identification risk scoring using k-anonymity analysis: every record in the released dataset must match at least k-1 other records across all quasi-identifier combinations (ZIP code, age, gender, diagnosis code). Minimum k=5 enforced for all datasets; k=10 for rare disease cohorts.</w:t>
      </w:r>
    </w:p>
    <w:p>
      <w:pPr>
        <w:pStyle w:val="ListParagraph"/>
        <w:numPr>
          <w:ilvl w:val="0"/>
          <w:numId w:val="2"/>
        </w:numPr>
        <w:spacing w:after="80"/>
      </w:pPr>
      <w:r>
        <w:rPr>
          <w:rFonts w:ascii="Arial" w:cs="Arial" w:eastAsia="Arial" w:hAnsi="Arial"/>
          <w:sz w:val="22"/>
          <w:szCs w:val="22"/>
        </w:rPr>
        <w:t xml:space="preserve">Dataset quality gate: datasets failing k-anonymity validation are automatically returned to the pipeline for additional generalization. No dataset proceeds to the research zone without passing all validation checks.</w:t>
      </w:r>
    </w:p>
    <w:p>
      <w:pPr>
        <w:pStyle w:val="ListParagraph"/>
        <w:numPr>
          <w:ilvl w:val="0"/>
          <w:numId w:val="2"/>
        </w:numPr>
        <w:spacing w:after="80"/>
      </w:pPr>
      <w:r>
        <w:rPr>
          <w:rFonts w:ascii="Arial" w:cs="Arial" w:eastAsia="Arial" w:hAnsi="Arial"/>
          <w:sz w:val="22"/>
          <w:szCs w:val="22"/>
        </w:rPr>
        <w:t xml:space="preserve">Validation reports are generated and stored per dataset release; compliance officer reviews monthly validation summary reports.</w:t>
      </w:r>
    </w:p>
    <w:p>
      <w:r>
        <w:t xml:space="preserve"/>
      </w:r>
    </w:p>
    <w:p>
      <w:pPr>
        <w:pStyle w:val="Heading1"/>
      </w:pPr>
      <w:r>
        <w:rPr>
          <w:rFonts w:ascii="Arial" w:cs="Arial" w:eastAsia="Arial" w:hAnsi="Arial"/>
          <w:b/>
          <w:bCs/>
          <w:color w:val="4A148C"/>
          <w:sz w:val="32"/>
          <w:szCs w:val="32"/>
        </w:rPr>
        <w:t xml:space="preserve">2. Confidential Computing Setup and Attestation Flow</w:t>
      </w:r>
    </w:p>
    <w:p>
      <w:pPr>
        <w:spacing w:after="140"/>
      </w:pPr>
      <w:r>
        <w:rPr>
          <w:rFonts w:ascii="Arial" w:cs="Arial" w:eastAsia="Arial" w:hAnsi="Arial"/>
          <w:sz w:val="22"/>
          <w:szCs w:val="22"/>
        </w:rPr>
        <w:t xml:space="preserve">Certain research scenarios — including multi-institutional studies, AI model training on sensitive clinical data, and analyses requiring granular patient-level data that cannot be sufficiently de-identified — are conducted exclusively within Azure Confidential Computing environments to enable computation without data exposure.</w:t>
      </w:r>
    </w:p>
    <w:p>
      <w:pPr>
        <w:pStyle w:val="Heading2"/>
      </w:pPr>
      <w:r>
        <w:rPr>
          <w:rFonts w:ascii="Arial" w:cs="Arial" w:eastAsia="Arial" w:hAnsi="Arial"/>
          <w:b/>
          <w:bCs/>
          <w:color w:val="7B1FA2"/>
          <w:sz w:val="26"/>
          <w:szCs w:val="26"/>
        </w:rPr>
        <w:t xml:space="preserve">2.1 Enclave Architecture</w:t>
      </w:r>
    </w:p>
    <w:p>
      <w:pPr>
        <w:pStyle w:val="ListParagraph"/>
        <w:numPr>
          <w:ilvl w:val="0"/>
          <w:numId w:val="2"/>
        </w:numPr>
        <w:spacing w:after="80"/>
      </w:pPr>
      <w:r>
        <w:rPr>
          <w:rFonts w:ascii="Arial" w:cs="Arial" w:eastAsia="Arial" w:hAnsi="Arial"/>
          <w:sz w:val="22"/>
          <w:szCs w:val="22"/>
        </w:rPr>
        <w:t xml:space="preserve">Azure Confidential VMs (DCsv3 series, Intel SGX or AMD SEV-SNP) host all sensitive research workloads. Data remains encrypted in memory during active processing — not accessible to host OS, hypervisor, or Azure platform operators.</w:t>
      </w:r>
    </w:p>
    <w:p>
      <w:pPr>
        <w:pStyle w:val="ListParagraph"/>
        <w:numPr>
          <w:ilvl w:val="0"/>
          <w:numId w:val="2"/>
        </w:numPr>
        <w:spacing w:after="80"/>
      </w:pPr>
      <w:r>
        <w:rPr>
          <w:rFonts w:ascii="Arial" w:cs="Arial" w:eastAsia="Arial" w:hAnsi="Arial"/>
          <w:sz w:val="22"/>
          <w:szCs w:val="22"/>
        </w:rPr>
        <w:t xml:space="preserve">Research containers are packaged using Docker and validated against an approved container registry before enclave deployment. Container signing enforced via Azure Container Registry content trust.</w:t>
      </w:r>
    </w:p>
    <w:p>
      <w:pPr>
        <w:pStyle w:val="ListParagraph"/>
        <w:numPr>
          <w:ilvl w:val="0"/>
          <w:numId w:val="2"/>
        </w:numPr>
        <w:spacing w:after="80"/>
      </w:pPr>
      <w:r>
        <w:rPr>
          <w:rFonts w:ascii="Arial" w:cs="Arial" w:eastAsia="Arial" w:hAnsi="Arial"/>
          <w:sz w:val="22"/>
          <w:szCs w:val="22"/>
        </w:rPr>
        <w:t xml:space="preserve">Secure key provisioning: encryption keys for dataset decryption are provisioned into the enclave only after successful attestation; keys are never stored on disk and destroyed upon session termination.</w:t>
      </w:r>
    </w:p>
    <w:p>
      <w:pPr>
        <w:pStyle w:val="Heading2"/>
      </w:pPr>
      <w:r>
        <w:rPr>
          <w:rFonts w:ascii="Arial" w:cs="Arial" w:eastAsia="Arial" w:hAnsi="Arial"/>
          <w:b/>
          <w:bCs/>
          <w:color w:val="7B1FA2"/>
          <w:sz w:val="26"/>
          <w:szCs w:val="26"/>
        </w:rPr>
        <w:t xml:space="preserve">2.2 Attestation Flow</w:t>
      </w:r>
    </w:p>
    <w:p>
      <w:pPr>
        <w:pStyle w:val="ListParagraph"/>
        <w:numPr>
          <w:ilvl w:val="0"/>
          <w:numId w:val="2"/>
        </w:numPr>
        <w:spacing w:after="80"/>
      </w:pPr>
      <w:r>
        <w:rPr>
          <w:rFonts w:ascii="Arial" w:cs="Arial" w:eastAsia="Arial" w:hAnsi="Arial"/>
          <w:sz w:val="22"/>
          <w:szCs w:val="22"/>
        </w:rPr>
        <w:t xml:space="preserve">Step 1 — Enclave Initialization: Research computation job triggers enclave startup. Intel SGX Attestation Service or AMD SEV attestation generates a cryptographic quote containing the enclave measurement (MRENCLAVE) and platform configuration.</w:t>
      </w:r>
    </w:p>
    <w:p>
      <w:pPr>
        <w:pStyle w:val="ListParagraph"/>
        <w:numPr>
          <w:ilvl w:val="0"/>
          <w:numId w:val="2"/>
        </w:numPr>
        <w:spacing w:after="80"/>
      </w:pPr>
      <w:r>
        <w:rPr>
          <w:rFonts w:ascii="Arial" w:cs="Arial" w:eastAsia="Arial" w:hAnsi="Arial"/>
          <w:sz w:val="22"/>
          <w:szCs w:val="22"/>
        </w:rPr>
        <w:t xml:space="preserve">Step 2 — Remote Attestation: Attestation quote submitted to Microsoft Azure Attestation (MAA) service. MAA validates that: the enclave is running on genuine, up-to-date hardware; the enclave code matches the approved measurement; the platform is free of known vulnerabilities.</w:t>
      </w:r>
    </w:p>
    <w:p>
      <w:pPr>
        <w:pStyle w:val="ListParagraph"/>
        <w:numPr>
          <w:ilvl w:val="0"/>
          <w:numId w:val="2"/>
        </w:numPr>
        <w:spacing w:after="80"/>
      </w:pPr>
      <w:r>
        <w:rPr>
          <w:rFonts w:ascii="Arial" w:cs="Arial" w:eastAsia="Arial" w:hAnsi="Arial"/>
          <w:sz w:val="22"/>
          <w:szCs w:val="22"/>
        </w:rPr>
        <w:t xml:space="preserve">Step 3 — Key Release: Upon successful attestation, Azure Key Vault releases dataset decryption keys exclusively to the verified enclave. Key release policy enforced via Key Vault Managed HSM with attestation-based access policies.</w:t>
      </w:r>
    </w:p>
    <w:p>
      <w:pPr>
        <w:pStyle w:val="ListParagraph"/>
        <w:numPr>
          <w:ilvl w:val="0"/>
          <w:numId w:val="2"/>
        </w:numPr>
        <w:spacing w:after="80"/>
      </w:pPr>
      <w:r>
        <w:rPr>
          <w:rFonts w:ascii="Arial" w:cs="Arial" w:eastAsia="Arial" w:hAnsi="Arial"/>
          <w:sz w:val="22"/>
          <w:szCs w:val="22"/>
        </w:rPr>
        <w:t xml:space="preserve">Step 4 — Computation and Result Export: Research computation executes within the enclave. Only aggregate results (not raw data) are exported from the enclave upon job completion. All result exports pass through a result validation check to confirm no raw PHI is present in outputs.</w:t>
      </w:r>
    </w:p>
    <w:p>
      <w:pPr>
        <w:pStyle w:val="ListParagraph"/>
        <w:numPr>
          <w:ilvl w:val="0"/>
          <w:numId w:val="2"/>
        </w:numPr>
        <w:spacing w:after="80"/>
      </w:pPr>
      <w:r>
        <w:rPr>
          <w:rFonts w:ascii="Arial" w:cs="Arial" w:eastAsia="Arial" w:hAnsi="Arial"/>
          <w:sz w:val="22"/>
          <w:szCs w:val="22"/>
        </w:rPr>
        <w:t xml:space="preserve">Step 5 — Audit Logging: All attestation events, key release authorizations, and computation job completions are recorded in the Azure Confidential Ledger — a tamper-evident, blockchain-backed audit store satisfying IRB and regulatory evidence requirements.</w:t>
      </w:r>
    </w:p>
    <w:p>
      <w:r>
        <w:t xml:space="preserve"/>
      </w:r>
    </w:p>
    <w:p>
      <w:pPr>
        <w:pStyle w:val="Heading1"/>
      </w:pPr>
      <w:r>
        <w:rPr>
          <w:rFonts w:ascii="Arial" w:cs="Arial" w:eastAsia="Arial" w:hAnsi="Arial"/>
          <w:b/>
          <w:bCs/>
          <w:color w:val="4A148C"/>
          <w:sz w:val="32"/>
          <w:szCs w:val="32"/>
        </w:rPr>
        <w:t xml:space="preserve">3. Research Data Platform</w:t>
      </w:r>
    </w:p>
    <w:p>
      <w:pPr>
        <w:pStyle w:val="Heading2"/>
      </w:pPr>
      <w:r>
        <w:rPr>
          <w:rFonts w:ascii="Arial" w:cs="Arial" w:eastAsia="Arial" w:hAnsi="Arial"/>
          <w:b/>
          <w:bCs/>
          <w:color w:val="7B1FA2"/>
          <w:sz w:val="26"/>
          <w:szCs w:val="26"/>
        </w:rPr>
        <w:t xml:space="preserve">3.1 De-Identified Dataset Repository</w:t>
      </w:r>
    </w:p>
    <w:p>
      <w:pPr>
        <w:spacing w:after="140"/>
      </w:pPr>
      <w:r>
        <w:rPr>
          <w:rFonts w:ascii="Arial" w:cs="Arial" w:eastAsia="Arial" w:hAnsi="Arial"/>
          <w:sz w:val="22"/>
          <w:szCs w:val="22"/>
        </w:rPr>
        <w:t xml:space="preserve">The Gold tier of Azure Data Lake Storage Gen2 serves as the authoritative repository for validated de-identified research datasets. The repository is organized by therapeutic area, study protocol, and data vintage. Access is granted per-project through the Research Data Portal following governance approval.</w:t>
      </w:r>
    </w:p>
    <w:p>
      <w:pPr>
        <w:pStyle w:val="ListParagraph"/>
        <w:numPr>
          <w:ilvl w:val="0"/>
          <w:numId w:val="2"/>
        </w:numPr>
        <w:spacing w:after="80"/>
      </w:pPr>
      <w:r>
        <w:rPr>
          <w:rFonts w:ascii="Arial" w:cs="Arial" w:eastAsia="Arial" w:hAnsi="Arial"/>
          <w:sz w:val="22"/>
          <w:szCs w:val="22"/>
        </w:rPr>
        <w:t xml:space="preserve">Azure Synapse Analytics provides SQL and Spark-based query capabilities for approved researchers; row-level security restricts each researcher to their approved dataset scope.</w:t>
      </w:r>
    </w:p>
    <w:p>
      <w:pPr>
        <w:pStyle w:val="ListParagraph"/>
        <w:numPr>
          <w:ilvl w:val="0"/>
          <w:numId w:val="2"/>
        </w:numPr>
        <w:spacing w:after="80"/>
      </w:pPr>
      <w:r>
        <w:rPr>
          <w:rFonts w:ascii="Arial" w:cs="Arial" w:eastAsia="Arial" w:hAnsi="Arial"/>
          <w:sz w:val="22"/>
          <w:szCs w:val="22"/>
        </w:rPr>
        <w:t xml:space="preserve">Dataset versioning: every de-identified dataset release is versioned and immutably recorded; researchers reference specific dataset versions in publications for reproducibility.</w:t>
      </w:r>
    </w:p>
    <w:p>
      <w:pPr>
        <w:pStyle w:val="Heading2"/>
      </w:pPr>
      <w:r>
        <w:rPr>
          <w:rFonts w:ascii="Arial" w:cs="Arial" w:eastAsia="Arial" w:hAnsi="Arial"/>
          <w:b/>
          <w:bCs/>
          <w:color w:val="7B1FA2"/>
          <w:sz w:val="26"/>
          <w:szCs w:val="26"/>
        </w:rPr>
        <w:t xml:space="preserve">3.2 Synthetic Data Generation</w:t>
      </w:r>
    </w:p>
    <w:p>
      <w:pPr>
        <w:pStyle w:val="ListParagraph"/>
        <w:numPr>
          <w:ilvl w:val="0"/>
          <w:numId w:val="2"/>
        </w:numPr>
        <w:spacing w:after="80"/>
      </w:pPr>
      <w:r>
        <w:rPr>
          <w:rFonts w:ascii="Arial" w:cs="Arial" w:eastAsia="Arial" w:hAnsi="Arial"/>
          <w:sz w:val="22"/>
          <w:szCs w:val="22"/>
        </w:rPr>
        <w:t xml:space="preserve">For scenarios requiring high-volume training datasets without re-identification risk — particularly for AI/ML model development — the platform generates synthetic clinical data using Microsoft Research's SmartNoise Synthesizer and the Synthetic Data Vault (SDV) library.</w:t>
      </w:r>
    </w:p>
    <w:p>
      <w:pPr>
        <w:pStyle w:val="ListParagraph"/>
        <w:numPr>
          <w:ilvl w:val="0"/>
          <w:numId w:val="2"/>
        </w:numPr>
        <w:spacing w:after="80"/>
      </w:pPr>
      <w:r>
        <w:rPr>
          <w:rFonts w:ascii="Arial" w:cs="Arial" w:eastAsia="Arial" w:hAnsi="Arial"/>
          <w:sz w:val="22"/>
          <w:szCs w:val="22"/>
        </w:rPr>
        <w:t xml:space="preserve">Synthetic data generation preserves the statistical properties of the original clinical dataset (marginal distributions, correlations, clinical patterns) while generating entirely new patient records with no correspondence to real individuals.</w:t>
      </w:r>
    </w:p>
    <w:p>
      <w:pPr>
        <w:pStyle w:val="ListParagraph"/>
        <w:numPr>
          <w:ilvl w:val="0"/>
          <w:numId w:val="2"/>
        </w:numPr>
        <w:spacing w:after="80"/>
      </w:pPr>
      <w:r>
        <w:rPr>
          <w:rFonts w:ascii="Arial" w:cs="Arial" w:eastAsia="Arial" w:hAnsi="Arial"/>
          <w:sz w:val="22"/>
          <w:szCs w:val="22"/>
        </w:rPr>
        <w:t xml:space="preserve">Synthetic datasets undergo utility validation (statistical fidelity testing) and privacy validation (membership inference attack resistance testing) before release. Results documented in a Synthetic Data Validation Report accompanying each dataset.</w:t>
      </w:r>
    </w:p>
    <w:p>
      <w:pPr>
        <w:pStyle w:val="Heading2"/>
      </w:pPr>
      <w:r>
        <w:rPr>
          <w:rFonts w:ascii="Arial" w:cs="Arial" w:eastAsia="Arial" w:hAnsi="Arial"/>
          <w:b/>
          <w:bCs/>
          <w:color w:val="7B1FA2"/>
          <w:sz w:val="26"/>
          <w:szCs w:val="26"/>
        </w:rPr>
        <w:t xml:space="preserve">3.3 Differential Privacy for Aggregate Queries</w:t>
      </w:r>
    </w:p>
    <w:p>
      <w:pPr>
        <w:pStyle w:val="ListParagraph"/>
        <w:numPr>
          <w:ilvl w:val="0"/>
          <w:numId w:val="2"/>
        </w:numPr>
        <w:spacing w:after="80"/>
      </w:pPr>
      <w:r>
        <w:rPr>
          <w:rFonts w:ascii="Arial" w:cs="Arial" w:eastAsia="Arial" w:hAnsi="Arial"/>
          <w:sz w:val="22"/>
          <w:szCs w:val="22"/>
        </w:rPr>
        <w:t xml:space="preserve">All aggregate query interfaces exposed to external researchers apply differential privacy noise using the OpenDP library (Harvard Privacy Tools Project). Queries over the research data platform add calibrated Laplace or Gaussian noise proportional to the query sensitivity and a configurable privacy budget (epsilon).</w:t>
      </w:r>
    </w:p>
    <w:p>
      <w:pPr>
        <w:pStyle w:val="ListParagraph"/>
        <w:numPr>
          <w:ilvl w:val="0"/>
          <w:numId w:val="2"/>
        </w:numPr>
        <w:spacing w:after="80"/>
      </w:pPr>
      <w:r>
        <w:rPr>
          <w:rFonts w:ascii="Arial" w:cs="Arial" w:eastAsia="Arial" w:hAnsi="Arial"/>
          <w:sz w:val="22"/>
          <w:szCs w:val="22"/>
        </w:rPr>
        <w:t xml:space="preserve">Privacy budget management: each researcher project is allocated a total epsilon budget per dataset. The platform tracks cumulative query costs against the budget; queries that would exceed the remaining budget are rejected, preventing privacy budget exhaustion attacks.</w:t>
      </w:r>
    </w:p>
    <w:p>
      <w:pPr>
        <w:pStyle w:val="ListParagraph"/>
        <w:numPr>
          <w:ilvl w:val="0"/>
          <w:numId w:val="2"/>
        </w:numPr>
        <w:spacing w:after="80"/>
      </w:pPr>
      <w:r>
        <w:rPr>
          <w:rFonts w:ascii="Arial" w:cs="Arial" w:eastAsia="Arial" w:hAnsi="Arial"/>
          <w:sz w:val="22"/>
          <w:szCs w:val="22"/>
        </w:rPr>
        <w:t xml:space="preserve">Privacy budget consumption and query logs are visible to researchers in their Research Portal dashboard; researchers can request budget extensions through the governance approval workflow.</w:t>
      </w:r>
    </w:p>
    <w:p>
      <w:r>
        <w:t xml:space="preserve"/>
      </w:r>
    </w:p>
    <w:p>
      <w:pPr>
        <w:pStyle w:val="Heading1"/>
      </w:pPr>
      <w:r>
        <w:rPr>
          <w:rFonts w:ascii="Arial" w:cs="Arial" w:eastAsia="Arial" w:hAnsi="Arial"/>
          <w:b/>
          <w:bCs/>
          <w:color w:val="4A148C"/>
          <w:sz w:val="32"/>
          <w:szCs w:val="32"/>
        </w:rPr>
        <w:t xml:space="preserve">4. Privacy Controls Dashboard</w:t>
      </w:r>
    </w:p>
    <w:p>
      <w:pPr>
        <w:spacing w:after="140"/>
      </w:pPr>
      <w:r>
        <w:rPr>
          <w:rFonts w:ascii="Arial" w:cs="Arial" w:eastAsia="Arial" w:hAnsi="Arial"/>
          <w:sz w:val="22"/>
          <w:szCs w:val="22"/>
        </w:rPr>
        <w:t xml:space="preserve">The Privacy Controls Dashboard provides a unified interface for patients and privacy officers to view and manage privacy preferences. It is accessible through the Patient Portal and the internal Privacy Office administrative interface.</w:t>
      </w:r>
    </w:p>
    <w:p>
      <w:pPr>
        <w:pStyle w:val="Heading2"/>
      </w:pPr>
      <w:r>
        <w:rPr>
          <w:rFonts w:ascii="Arial" w:cs="Arial" w:eastAsia="Arial" w:hAnsi="Arial"/>
          <w:b/>
          <w:bCs/>
          <w:color w:val="7B1FA2"/>
          <w:sz w:val="26"/>
          <w:szCs w:val="26"/>
        </w:rPr>
        <w:t xml:space="preserve">4.1 Patient-Facing Controls</w:t>
      </w:r>
    </w:p>
    <w:p>
      <w:pPr>
        <w:pStyle w:val="ListParagraph"/>
        <w:numPr>
          <w:ilvl w:val="0"/>
          <w:numId w:val="2"/>
        </w:numPr>
        <w:spacing w:after="80"/>
      </w:pPr>
      <w:r>
        <w:rPr>
          <w:rFonts w:ascii="Arial" w:cs="Arial" w:eastAsia="Arial" w:hAnsi="Arial"/>
          <w:sz w:val="22"/>
          <w:szCs w:val="22"/>
        </w:rPr>
        <w:t xml:space="preserve">Consent Preference Center: Patients view and update their consent status for each consent category (Treatment, Research, AI Training, Analytics, Third-Party Sharing) in plain language. Consent status is displayed as a clear enabled/disabled toggle with a timestamp of last change.</w:t>
      </w:r>
    </w:p>
    <w:p>
      <w:pPr>
        <w:pStyle w:val="ListParagraph"/>
        <w:numPr>
          <w:ilvl w:val="0"/>
          <w:numId w:val="2"/>
        </w:numPr>
        <w:spacing w:after="80"/>
      </w:pPr>
      <w:r>
        <w:rPr>
          <w:rFonts w:ascii="Arial" w:cs="Arial" w:eastAsia="Arial" w:hAnsi="Arial"/>
          <w:sz w:val="22"/>
          <w:szCs w:val="22"/>
        </w:rPr>
        <w:t xml:space="preserve">Data Access Log: Patients can view a summary of who has accessed their health records in the past 12 months — provider, date, access type, and purpose — in compliance with the HIPAA Right of Access and GDPR Right of Information.</w:t>
      </w:r>
    </w:p>
    <w:p>
      <w:pPr>
        <w:pStyle w:val="ListParagraph"/>
        <w:numPr>
          <w:ilvl w:val="0"/>
          <w:numId w:val="2"/>
        </w:numPr>
        <w:spacing w:after="80"/>
      </w:pPr>
      <w:r>
        <w:rPr>
          <w:rFonts w:ascii="Arial" w:cs="Arial" w:eastAsia="Arial" w:hAnsi="Arial"/>
          <w:sz w:val="22"/>
          <w:szCs w:val="22"/>
        </w:rPr>
        <w:t xml:space="preserve">Data Download: Patients may download their complete health record in FHIR R4 JSON or human-readable PDF formats; download requests fulfilled within 30 days per HIPAA requirements.</w:t>
      </w:r>
    </w:p>
    <w:p>
      <w:pPr>
        <w:pStyle w:val="ListParagraph"/>
        <w:numPr>
          <w:ilvl w:val="0"/>
          <w:numId w:val="2"/>
        </w:numPr>
        <w:spacing w:after="80"/>
      </w:pPr>
      <w:r>
        <w:rPr>
          <w:rFonts w:ascii="Arial" w:cs="Arial" w:eastAsia="Arial" w:hAnsi="Arial"/>
          <w:sz w:val="22"/>
          <w:szCs w:val="22"/>
        </w:rPr>
        <w:t xml:space="preserve">Correction Requests: Patients submit record correction requests directly through the portal; requests routed to the clinical data management team with a 60-day resolution commitment.</w:t>
      </w:r>
    </w:p>
    <w:p>
      <w:pPr>
        <w:pStyle w:val="Heading2"/>
      </w:pPr>
      <w:r>
        <w:rPr>
          <w:rFonts w:ascii="Arial" w:cs="Arial" w:eastAsia="Arial" w:hAnsi="Arial"/>
          <w:b/>
          <w:bCs/>
          <w:color w:val="7B1FA2"/>
          <w:sz w:val="26"/>
          <w:szCs w:val="26"/>
        </w:rPr>
        <w:t xml:space="preserve">4.2 Consent-Access Synchronization</w:t>
      </w:r>
    </w:p>
    <w:p>
      <w:pPr>
        <w:pStyle w:val="ListParagraph"/>
        <w:numPr>
          <w:ilvl w:val="0"/>
          <w:numId w:val="2"/>
        </w:numPr>
        <w:spacing w:after="80"/>
      </w:pPr>
      <w:r>
        <w:rPr>
          <w:rFonts w:ascii="Arial" w:cs="Arial" w:eastAsia="Arial" w:hAnsi="Arial"/>
          <w:sz w:val="22"/>
          <w:szCs w:val="22"/>
        </w:rPr>
        <w:t xml:space="preserve">Consent preferences stored as FHIR Consent resources are polled every 15 minutes by the access control engine. When a patient withdraws research consent, the system automatically revokes access to that patient's data from active research workspaces within 24 hours and generates a withdrawal notification to affected researchers.</w:t>
      </w:r>
    </w:p>
    <w:p>
      <w:pPr>
        <w:pStyle w:val="ListParagraph"/>
        <w:numPr>
          <w:ilvl w:val="0"/>
          <w:numId w:val="2"/>
        </w:numPr>
        <w:spacing w:after="80"/>
      </w:pPr>
      <w:r>
        <w:rPr>
          <w:rFonts w:ascii="Arial" w:cs="Arial" w:eastAsia="Arial" w:hAnsi="Arial"/>
          <w:sz w:val="22"/>
          <w:szCs w:val="22"/>
        </w:rPr>
        <w:t xml:space="preserve">Consent status is visible to clinical staff in the EHR system to guide treatment-related data sharing decisions at the point of care.</w:t>
      </w:r>
    </w:p>
    <w:p>
      <w:pPr>
        <w:pStyle w:val="ListParagraph"/>
        <w:numPr>
          <w:ilvl w:val="0"/>
          <w:numId w:val="2"/>
        </w:numPr>
        <w:spacing w:after="80"/>
      </w:pPr>
      <w:r>
        <w:rPr>
          <w:rFonts w:ascii="Arial" w:cs="Arial" w:eastAsia="Arial" w:hAnsi="Arial"/>
          <w:sz w:val="22"/>
          <w:szCs w:val="22"/>
        </w:rPr>
        <w:t xml:space="preserve">The Privacy Officer dashboard displays aggregate consent trend data (opt-in rates by category, recent withdrawals, pending requests) for program monitoring; all patient-level data is de-identified in this administrative view.</w:t>
      </w:r>
    </w:p>
    <w:p>
      <w:r>
        <w:t xml:space="preserve"/>
      </w:r>
    </w:p>
    <w:p>
      <w:pPr>
        <w:pBdr>
          <w:top w:val="single" w:color="7B1FA2" w:sz="6"/>
        </w:pBdr>
        <w:spacing w:before="400"/>
        <w:jc w:val="center"/>
      </w:pPr>
      <w:r>
        <w:rPr>
          <w:rFonts w:ascii="Arial" w:cs="Arial" w:eastAsia="Arial" w:hAnsi="Arial"/>
          <w:i/>
          <w:iCs/>
          <w:color w:val="595959"/>
          <w:sz w:val="18"/>
          <w:szCs w:val="18"/>
        </w:rPr>
        <w:t xml:space="preserve">Confidential | Healthcare Data Governance and Security System Portfolio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A148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7B1FA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2026-03-27T05:48:26.495Z</dcterms:created>
  <dcterms:modified xsi:type="dcterms:W3CDTF">2026-03-27T05:48:26.495Z</dcterms:modified>
</cp:coreProperties>
</file>

<file path=docProps/custom.xml><?xml version="1.0" encoding="utf-8"?>
<Properties xmlns="http://schemas.openxmlformats.org/officeDocument/2006/custom-properties" xmlns:vt="http://schemas.openxmlformats.org/officeDocument/2006/docPropsVTypes"/>
</file>