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BF360C"/>
          <w:sz w:val="40"/>
          <w:szCs w:val="40"/>
        </w:rPr>
        <w:t xml:space="preserve">Healthcare Data Governance and Security System</w:t>
      </w:r>
    </w:p>
    <w:p>
      <w:pPr>
        <w:spacing w:after="80"/>
        <w:jc w:val="center"/>
      </w:pPr>
      <w:r>
        <w:rPr>
          <w:rFonts w:ascii="Arial" w:cs="Arial" w:eastAsia="Arial" w:hAnsi="Arial"/>
          <w:b/>
          <w:bCs/>
          <w:color w:val="E64A19"/>
          <w:sz w:val="30"/>
          <w:szCs w:val="30"/>
        </w:rPr>
        <w:t xml:space="preserve">Area 4: Monitoring &amp; Reporting System</w:t>
      </w:r>
    </w:p>
    <w:p>
      <w:pPr>
        <w:spacing w:after="300"/>
        <w:jc w:val="center"/>
      </w:pPr>
      <w:r>
        <w:rPr>
          <w:rFonts w:ascii="Arial" w:cs="Arial" w:eastAsia="Arial" w:hAnsi="Arial"/>
          <w:i/>
          <w:iCs/>
          <w:color w:val="595959"/>
          <w:sz w:val="20"/>
          <w:szCs w:val="20"/>
        </w:rPr>
        <w:t xml:space="preserve">Academic Medical Center | Lead Healthcare Data Security Architect | March 2026</w:t>
      </w:r>
    </w:p>
    <w:p>
      <w:pPr>
        <w:pStyle w:val="Heading1"/>
      </w:pPr>
      <w:r>
        <w:rPr>
          <w:rFonts w:ascii="Arial" w:cs="Arial" w:eastAsia="Arial" w:hAnsi="Arial"/>
          <w:b/>
          <w:bCs/>
          <w:color w:val="BF360C"/>
          <w:sz w:val="32"/>
          <w:szCs w:val="32"/>
        </w:rPr>
        <w:t xml:space="preserve">1. Executive Compliance Monitoring</w:t>
      </w:r>
    </w:p>
    <w:p>
      <w:pPr>
        <w:spacing w:after="140"/>
      </w:pPr>
      <w:r>
        <w:rPr>
          <w:rFonts w:ascii="Arial" w:cs="Arial" w:eastAsia="Arial" w:hAnsi="Arial"/>
          <w:sz w:val="22"/>
          <w:szCs w:val="22"/>
        </w:rPr>
        <w:t xml:space="preserve">The Executive Compliance Dashboard, delivered through Azure Managed Grafana integrated with Microsoft Purview and Azure Monitor, provides organizational leadership with a real-time, high-level view of the institution's compliance posture across all regulatory frameworks. The dashboard is accessible to Data Governance Council members through a secure, role-restricted portal.</w:t>
      </w:r>
    </w:p>
    <w:p>
      <w:pPr>
        <w:pStyle w:val="Heading2"/>
      </w:pPr>
      <w:r>
        <w:rPr>
          <w:rFonts w:ascii="Arial" w:cs="Arial" w:eastAsia="Arial" w:hAnsi="Arial"/>
          <w:b/>
          <w:bCs/>
          <w:color w:val="E64A19"/>
          <w:sz w:val="26"/>
          <w:szCs w:val="26"/>
        </w:rPr>
        <w:t xml:space="preserve">1.1 Compliance Score and Posture</w:t>
      </w:r>
    </w:p>
    <w:p>
      <w:pPr>
        <w:pStyle w:val="ListParagraph"/>
        <w:numPr>
          <w:ilvl w:val="0"/>
          <w:numId w:val="2"/>
        </w:numPr>
        <w:spacing w:after="80"/>
      </w:pPr>
      <w:r>
        <w:rPr>
          <w:rFonts w:ascii="Arial" w:cs="Arial" w:eastAsia="Arial" w:hAnsi="Arial"/>
          <w:sz w:val="22"/>
          <w:szCs w:val="22"/>
        </w:rPr>
        <w:t xml:space="preserve">Overall Compliance Score: A weighted composite score (0–100) calculated across HIPAA Security Rule, HIPAA Privacy Rule, GDPR, and state law requirements. The score is computed weekly using Microsoft Purview Compliance Manager assessments, which map the organization's current control implementation status against each regulatory requirement. Scores are displayed with trend arrows showing week-over-week movement.</w:t>
      </w:r>
    </w:p>
    <w:p>
      <w:pPr>
        <w:pStyle w:val="ListParagraph"/>
        <w:numPr>
          <w:ilvl w:val="0"/>
          <w:numId w:val="2"/>
        </w:numPr>
        <w:spacing w:after="80"/>
      </w:pPr>
      <w:r>
        <w:rPr>
          <w:rFonts w:ascii="Arial" w:cs="Arial" w:eastAsia="Arial" w:hAnsi="Arial"/>
          <w:sz w:val="22"/>
          <w:szCs w:val="22"/>
        </w:rPr>
        <w:t xml:space="preserve">Regulatory Heat Map: A matrix visualization displaying compliance status by regulation (rows) and control domain (columns — Access Control, Encryption, Audit, Incident Response, Training, Physical Safeguards, Business Associates). Each cell is color-coded: green (&gt;90% controls met), amber (75–89%), red (&lt;75%). This allows executives to identify which regulatory domains carry the highest current exposure.</w:t>
      </w:r>
    </w:p>
    <w:p>
      <w:pPr>
        <w:pStyle w:val="ListParagraph"/>
        <w:numPr>
          <w:ilvl w:val="0"/>
          <w:numId w:val="2"/>
        </w:numPr>
        <w:spacing w:after="80"/>
      </w:pPr>
      <w:r>
        <w:rPr>
          <w:rFonts w:ascii="Arial" w:cs="Arial" w:eastAsia="Arial" w:hAnsi="Arial"/>
          <w:sz w:val="22"/>
          <w:szCs w:val="22"/>
        </w:rPr>
        <w:t xml:space="preserve">Trend Analysis: Rolling 12-month compliance score trendlines displayed per framework, enabling the DGC to assess whether the governance program is improving over time. Score inflection points annotated with causative events (audits, incidents, policy changes).</w:t>
      </w:r>
    </w:p>
    <w:p>
      <w:pPr>
        <w:pStyle w:val="Heading2"/>
      </w:pPr>
      <w:r>
        <w:rPr>
          <w:rFonts w:ascii="Arial" w:cs="Arial" w:eastAsia="Arial" w:hAnsi="Arial"/>
          <w:b/>
          <w:bCs/>
          <w:color w:val="E64A19"/>
          <w:sz w:val="26"/>
          <w:szCs w:val="26"/>
        </w:rPr>
        <w:t xml:space="preserve">1.2 Predictive Compliance Indicators</w:t>
      </w:r>
    </w:p>
    <w:p>
      <w:pPr>
        <w:pStyle w:val="ListParagraph"/>
        <w:numPr>
          <w:ilvl w:val="0"/>
          <w:numId w:val="2"/>
        </w:numPr>
        <w:spacing w:after="80"/>
      </w:pPr>
      <w:r>
        <w:rPr>
          <w:rFonts w:ascii="Arial" w:cs="Arial" w:eastAsia="Arial" w:hAnsi="Arial"/>
          <w:sz w:val="22"/>
          <w:szCs w:val="22"/>
        </w:rPr>
        <w:t xml:space="preserve">Access Review Completion Rate: Tracks the percentage of quarterly access reviews completed on time. Falling completion rates predict future access control compliance failures; early warning threshold set at 85% on-time completion.</w:t>
      </w:r>
    </w:p>
    <w:p>
      <w:pPr>
        <w:pStyle w:val="ListParagraph"/>
        <w:numPr>
          <w:ilvl w:val="0"/>
          <w:numId w:val="2"/>
        </w:numPr>
        <w:spacing w:after="80"/>
      </w:pPr>
      <w:r>
        <w:rPr>
          <w:rFonts w:ascii="Arial" w:cs="Arial" w:eastAsia="Arial" w:hAnsi="Arial"/>
          <w:sz w:val="22"/>
          <w:szCs w:val="22"/>
        </w:rPr>
        <w:t xml:space="preserve">Training Completion Forecasting: Projects training completion rates for the annual compliance training cycle based on current completion velocity. Alerts triggered if projected completion rate will fall below the 95% institutional target with more than 30 days remaining in the training window.</w:t>
      </w:r>
    </w:p>
    <w:p>
      <w:pPr>
        <w:pStyle w:val="ListParagraph"/>
        <w:numPr>
          <w:ilvl w:val="0"/>
          <w:numId w:val="2"/>
        </w:numPr>
        <w:spacing w:after="80"/>
      </w:pPr>
      <w:r>
        <w:rPr>
          <w:rFonts w:ascii="Arial" w:cs="Arial" w:eastAsia="Arial" w:hAnsi="Arial"/>
          <w:sz w:val="22"/>
          <w:szCs w:val="22"/>
        </w:rPr>
        <w:t xml:space="preserve">Vendor Contract Expiry Forecast: Displays upcoming BAA and DPA expiration dates on a 90-day forward-looking calendar. Automated alerts notify Legal and Compliance 60 days before any contract expiration to prevent unauthorized data sharing continuity gaps.</w:t>
      </w:r>
    </w:p>
    <w:p>
      <w:pPr>
        <w:pStyle w:val="ListParagraph"/>
        <w:numPr>
          <w:ilvl w:val="0"/>
          <w:numId w:val="2"/>
        </w:numPr>
        <w:spacing w:after="80"/>
      </w:pPr>
      <w:r>
        <w:rPr>
          <w:rFonts w:ascii="Arial" w:cs="Arial" w:eastAsia="Arial" w:hAnsi="Arial"/>
          <w:sz w:val="22"/>
          <w:szCs w:val="22"/>
        </w:rPr>
        <w:t xml:space="preserve">Open Audit Finding Age: Tracks the age of unresolved audit findings. Predictive model flags findings likely to breach their remediation SLA based on current remediation velocity, enabling proactive resource allocation before SLA breach.</w:t>
      </w:r>
    </w:p>
    <w:p>
      <w:r>
        <w:t xml:space="preserve"/>
      </w:r>
    </w:p>
    <w:p>
      <w:pPr>
        <w:pStyle w:val="Heading1"/>
      </w:pPr>
      <w:r>
        <w:rPr>
          <w:rFonts w:ascii="Arial" w:cs="Arial" w:eastAsia="Arial" w:hAnsi="Arial"/>
          <w:b/>
          <w:bCs/>
          <w:color w:val="BF360C"/>
          <w:sz w:val="32"/>
          <w:szCs w:val="32"/>
        </w:rPr>
        <w:t xml:space="preserve">2. Operational Monitoring Strategy</w:t>
      </w:r>
    </w:p>
    <w:p>
      <w:pPr>
        <w:spacing w:after="140"/>
      </w:pPr>
      <w:r>
        <w:rPr>
          <w:rFonts w:ascii="Arial" w:cs="Arial" w:eastAsia="Arial" w:hAnsi="Arial"/>
          <w:sz w:val="22"/>
          <w:szCs w:val="22"/>
        </w:rPr>
        <w:t xml:space="preserve">Operational monitoring is implemented through Microsoft Sentinel SIEM integrated with Azure Monitor, Log Analytics, and Microsoft Defender for Cloud. The operational monitoring layer provides 24/7 visibility into security events, data access patterns, system health, and data quality across the platform.</w:t>
      </w:r>
    </w:p>
    <w:p>
      <w:pPr>
        <w:pStyle w:val="Heading2"/>
      </w:pPr>
      <w:r>
        <w:rPr>
          <w:rFonts w:ascii="Arial" w:cs="Arial" w:eastAsia="Arial" w:hAnsi="Arial"/>
          <w:b/>
          <w:bCs/>
          <w:color w:val="E64A19"/>
          <w:sz w:val="26"/>
          <w:szCs w:val="26"/>
        </w:rPr>
        <w:t xml:space="preserve">2.1 Security Alerting and Anomaly Detection</w:t>
      </w:r>
    </w:p>
    <w:p>
      <w:pPr>
        <w:pStyle w:val="ListParagraph"/>
        <w:numPr>
          <w:ilvl w:val="0"/>
          <w:numId w:val="2"/>
        </w:numPr>
        <w:spacing w:after="80"/>
      </w:pPr>
      <w:r>
        <w:rPr>
          <w:rFonts w:ascii="Arial" w:cs="Arial" w:eastAsia="Arial" w:hAnsi="Arial"/>
          <w:sz w:val="22"/>
          <w:szCs w:val="22"/>
        </w:rPr>
        <w:t xml:space="preserve">Microsoft Sentinel Analytics Rules: Pre-configured and custom detection rules identify threat patterns in near-real time. Key rules include: impossible travel login detection (user accessing systems from geographically impossible locations within a short timeframe); bulk data export anomaly detection (researcher exporting volumes significantly exceeding their historical baseline); after-hours privileged access alerts; failed authentication brute force detection (more than 10 failures in 5 minutes).</w:t>
      </w:r>
    </w:p>
    <w:p>
      <w:pPr>
        <w:pStyle w:val="ListParagraph"/>
        <w:numPr>
          <w:ilvl w:val="0"/>
          <w:numId w:val="2"/>
        </w:numPr>
        <w:spacing w:after="80"/>
      </w:pPr>
      <w:r>
        <w:rPr>
          <w:rFonts w:ascii="Arial" w:cs="Arial" w:eastAsia="Arial" w:hAnsi="Arial"/>
          <w:sz w:val="22"/>
          <w:szCs w:val="22"/>
        </w:rPr>
        <w:t xml:space="preserve">User and Entity Behavior Analytics (UEBA): Microsoft Sentinel UEBA establishes behavioral baselines for all users and service accounts. Deviations from baseline — unusual data access volumes, atypical access times, access to resources outside normal scope — trigger anomaly alerts with a risk score. High-risk anomalies are automatically escalated to the Security Operations Center (SOC).</w:t>
      </w:r>
    </w:p>
    <w:p>
      <w:pPr>
        <w:pStyle w:val="ListParagraph"/>
        <w:numPr>
          <w:ilvl w:val="0"/>
          <w:numId w:val="2"/>
        </w:numPr>
        <w:spacing w:after="80"/>
      </w:pPr>
      <w:r>
        <w:rPr>
          <w:rFonts w:ascii="Arial" w:cs="Arial" w:eastAsia="Arial" w:hAnsi="Arial"/>
          <w:sz w:val="22"/>
          <w:szCs w:val="22"/>
        </w:rPr>
        <w:t xml:space="preserve">Automated Containment Playbooks: Microsoft Sentinel Logic Apps playbooks execute automated responses to specific high-confidence threats: suspicious bulk download triggers automatic account suspension pending review; malware detection on a clinical workstation triggers automated network isolation; failed MFA attempts exceeding threshold trigger temporary account lockout and security team notification.</w:t>
      </w:r>
    </w:p>
    <w:p>
      <w:pPr>
        <w:pStyle w:val="ListParagraph"/>
        <w:numPr>
          <w:ilvl w:val="0"/>
          <w:numId w:val="2"/>
        </w:numPr>
        <w:spacing w:after="80"/>
      </w:pPr>
      <w:r>
        <w:rPr>
          <w:rFonts w:ascii="Arial" w:cs="Arial" w:eastAsia="Arial" w:hAnsi="Arial"/>
          <w:sz w:val="22"/>
          <w:szCs w:val="22"/>
        </w:rPr>
        <w:t xml:space="preserve">Alert Severity and SLA: Critical alerts (potential breach, active exfiltration, ransomware indicators) require SOC acknowledgment within 15 minutes and initial containment within 1 hour. High alerts require acknowledgment within 4 hours. Medium alerts investigated within 24 hours. Low alerts reviewed in weekly batch.</w:t>
      </w:r>
    </w:p>
    <w:p>
      <w:pPr>
        <w:pStyle w:val="Heading2"/>
      </w:pPr>
      <w:r>
        <w:rPr>
          <w:rFonts w:ascii="Arial" w:cs="Arial" w:eastAsia="Arial" w:hAnsi="Arial"/>
          <w:b/>
          <w:bCs/>
          <w:color w:val="E64A19"/>
          <w:sz w:val="26"/>
          <w:szCs w:val="26"/>
        </w:rPr>
        <w:t xml:space="preserve">2.2 Data Quality Monitoring</w:t>
      </w:r>
    </w:p>
    <w:p>
      <w:pPr>
        <w:pStyle w:val="ListParagraph"/>
        <w:numPr>
          <w:ilvl w:val="0"/>
          <w:numId w:val="2"/>
        </w:numPr>
        <w:spacing w:after="80"/>
      </w:pPr>
      <w:r>
        <w:rPr>
          <w:rFonts w:ascii="Arial" w:cs="Arial" w:eastAsia="Arial" w:hAnsi="Arial"/>
          <w:sz w:val="22"/>
          <w:szCs w:val="22"/>
        </w:rPr>
        <w:t xml:space="preserve">Azure Data Factory pipeline monitoring tracks data ingestion success rates, transformation error rates, and record counts at each pipeline stage. Pipelines processing FHIR resources validate schema conformance, referential integrity, and mandatory field completeness before advancing data to the Silver tier.</w:t>
      </w:r>
    </w:p>
    <w:p>
      <w:pPr>
        <w:pStyle w:val="ListParagraph"/>
        <w:numPr>
          <w:ilvl w:val="0"/>
          <w:numId w:val="2"/>
        </w:numPr>
        <w:spacing w:after="80"/>
      </w:pPr>
      <w:r>
        <w:rPr>
          <w:rFonts w:ascii="Arial" w:cs="Arial" w:eastAsia="Arial" w:hAnsi="Arial"/>
          <w:sz w:val="22"/>
          <w:szCs w:val="22"/>
        </w:rPr>
        <w:t xml:space="preserve">Data quality dashboards in Azure Synapse Analytics track key metrics for the research data platform: de-identification pipeline completion rates, k-anonymity scores per released dataset, re-identification risk assessment results, and synthetic data utility scores.</w:t>
      </w:r>
    </w:p>
    <w:p>
      <w:pPr>
        <w:pStyle w:val="ListParagraph"/>
        <w:numPr>
          <w:ilvl w:val="0"/>
          <w:numId w:val="2"/>
        </w:numPr>
        <w:spacing w:after="80"/>
      </w:pPr>
      <w:r>
        <w:rPr>
          <w:rFonts w:ascii="Arial" w:cs="Arial" w:eastAsia="Arial" w:hAnsi="Arial"/>
          <w:sz w:val="22"/>
          <w:szCs w:val="22"/>
        </w:rPr>
        <w:t xml:space="preserve">Automated data quality alerts notify the Data Stewardship Committee when ingestion error rates exceed 2%, when de-identification pipeline failures occur, or when a dataset fails k-anonymity validation.</w:t>
      </w:r>
    </w:p>
    <w:p>
      <w:pPr>
        <w:pStyle w:val="Heading2"/>
      </w:pPr>
      <w:r>
        <w:rPr>
          <w:rFonts w:ascii="Arial" w:cs="Arial" w:eastAsia="Arial" w:hAnsi="Arial"/>
          <w:b/>
          <w:bCs/>
          <w:color w:val="E64A19"/>
          <w:sz w:val="26"/>
          <w:szCs w:val="26"/>
        </w:rPr>
        <w:t xml:space="preserve">2.3 System Health Monitoring</w:t>
      </w:r>
    </w:p>
    <w:p>
      <w:pPr>
        <w:pStyle w:val="ListParagraph"/>
        <w:numPr>
          <w:ilvl w:val="0"/>
          <w:numId w:val="2"/>
        </w:numPr>
        <w:spacing w:after="80"/>
      </w:pPr>
      <w:r>
        <w:rPr>
          <w:rFonts w:ascii="Arial" w:cs="Arial" w:eastAsia="Arial" w:hAnsi="Arial"/>
          <w:sz w:val="22"/>
          <w:szCs w:val="22"/>
        </w:rPr>
        <w:t xml:space="preserve">Azure Monitor tracks health and performance metrics for all platform components: FHIR service response times (alert threshold: p95 latency &gt;2 seconds), Data Lake storage capacity utilization (alert at 80%), Key Vault availability (alert threshold: &lt;99.9% monthly SLA), and IoT Connector message processing throughput.</w:t>
      </w:r>
    </w:p>
    <w:p>
      <w:pPr>
        <w:pStyle w:val="ListParagraph"/>
        <w:numPr>
          <w:ilvl w:val="0"/>
          <w:numId w:val="2"/>
        </w:numPr>
        <w:spacing w:after="80"/>
      </w:pPr>
      <w:r>
        <w:rPr>
          <w:rFonts w:ascii="Arial" w:cs="Arial" w:eastAsia="Arial" w:hAnsi="Arial"/>
          <w:sz w:val="22"/>
          <w:szCs w:val="22"/>
        </w:rPr>
        <w:t xml:space="preserve">Availability dashboards display real-time status of all Azure Health Data Services components with historical uptime metrics. Incidents affecting clinical data availability are escalated immediately to IT Operations and the CISO.</w:t>
      </w:r>
    </w:p>
    <w:p>
      <w:pPr>
        <w:pStyle w:val="ListParagraph"/>
        <w:numPr>
          <w:ilvl w:val="0"/>
          <w:numId w:val="2"/>
        </w:numPr>
        <w:spacing w:after="80"/>
      </w:pPr>
      <w:r>
        <w:rPr>
          <w:rFonts w:ascii="Arial" w:cs="Arial" w:eastAsia="Arial" w:hAnsi="Arial"/>
          <w:sz w:val="22"/>
          <w:szCs w:val="22"/>
        </w:rPr>
        <w:t xml:space="preserve">Cost anomaly detection in Azure Cost Management flags unexpected spending spikes (&gt;20% week-over-week increase) that may indicate unauthorized resource provisioning or data exfiltration via compute-intensive methods.</w:t>
      </w:r>
    </w:p>
    <w:p>
      <w:r>
        <w:t xml:space="preserve"/>
      </w:r>
    </w:p>
    <w:p>
      <w:pPr>
        <w:pStyle w:val="Heading1"/>
      </w:pPr>
      <w:r>
        <w:rPr>
          <w:rFonts w:ascii="Arial" w:cs="Arial" w:eastAsia="Arial" w:hAnsi="Arial"/>
          <w:b/>
          <w:bCs/>
          <w:color w:val="BF360C"/>
          <w:sz w:val="32"/>
          <w:szCs w:val="32"/>
        </w:rPr>
        <w:t xml:space="preserve">3. Audit Reporting Framework</w:t>
      </w:r>
    </w:p>
    <w:p>
      <w:pPr>
        <w:spacing w:after="140"/>
      </w:pPr>
      <w:r>
        <w:rPr>
          <w:rFonts w:ascii="Arial" w:cs="Arial" w:eastAsia="Arial" w:hAnsi="Arial"/>
          <w:sz w:val="22"/>
          <w:szCs w:val="22"/>
        </w:rPr>
        <w:t xml:space="preserve">The audit reporting framework consolidates evidence from Microsoft Sentinel, Azure Monitor Log Analytics, Microsoft Purview, and Azure Confidential Ledger into structured reports supporting regulatory compliance audits, internal governance reviews, and incident investigations.</w:t>
      </w:r>
    </w:p>
    <w:p>
      <w:pPr>
        <w:pStyle w:val="Heading2"/>
      </w:pPr>
      <w:r>
        <w:rPr>
          <w:rFonts w:ascii="Arial" w:cs="Arial" w:eastAsia="Arial" w:hAnsi="Arial"/>
          <w:b/>
          <w:bCs/>
          <w:color w:val="E64A19"/>
          <w:sz w:val="26"/>
          <w:szCs w:val="26"/>
        </w:rPr>
        <w:t xml:space="preserve">3.1 Access Audit Trails</w:t>
      </w:r>
    </w:p>
    <w:p>
      <w:pPr>
        <w:pStyle w:val="ListParagraph"/>
        <w:numPr>
          <w:ilvl w:val="0"/>
          <w:numId w:val="2"/>
        </w:numPr>
        <w:spacing w:after="80"/>
      </w:pPr>
      <w:r>
        <w:rPr>
          <w:rFonts w:ascii="Arial" w:cs="Arial" w:eastAsia="Arial" w:hAnsi="Arial"/>
          <w:sz w:val="22"/>
          <w:szCs w:val="22"/>
        </w:rPr>
        <w:t xml:space="preserve">Comprehensive access logs capture every interaction with Restricted and Confidential data: user identity (UPN and object ID), timestamp (UTC), resource accessed (FHIR resource type and ID, Data Lake path), action performed (read, write, export, delete), source IP address and device compliance status, and authorization context (role assignment, project scope).</w:t>
      </w:r>
    </w:p>
    <w:p>
      <w:pPr>
        <w:pStyle w:val="ListParagraph"/>
        <w:numPr>
          <w:ilvl w:val="0"/>
          <w:numId w:val="2"/>
        </w:numPr>
        <w:spacing w:after="80"/>
      </w:pPr>
      <w:r>
        <w:rPr>
          <w:rFonts w:ascii="Arial" w:cs="Arial" w:eastAsia="Arial" w:hAnsi="Arial"/>
          <w:sz w:val="22"/>
          <w:szCs w:val="22"/>
        </w:rPr>
        <w:t xml:space="preserve">Logs are stored in Azure Log Analytics (90-day hot retention) and Azure Storage immutable blob containers (7-year archive retention). Immutability policies prevent modification or deletion of audit records — a WORM (Write Once, Read Many) configuration satisfies regulatory evidence preservation requirements.</w:t>
      </w:r>
    </w:p>
    <w:p>
      <w:pPr>
        <w:pStyle w:val="ListParagraph"/>
        <w:numPr>
          <w:ilvl w:val="0"/>
          <w:numId w:val="2"/>
        </w:numPr>
        <w:spacing w:after="80"/>
      </w:pPr>
      <w:r>
        <w:rPr>
          <w:rFonts w:ascii="Arial" w:cs="Arial" w:eastAsia="Arial" w:hAnsi="Arial"/>
          <w:sz w:val="22"/>
          <w:szCs w:val="22"/>
        </w:rPr>
        <w:t xml:space="preserve">Access audit reports are generated automatically on a monthly basis for each data domain and distributed to the corresponding Data Steward for review. Ad hoc access audit reports can be generated on demand for specific users, time ranges, or resources through the Purview compliance portal.</w:t>
      </w:r>
    </w:p>
    <w:p>
      <w:pPr>
        <w:pStyle w:val="Heading2"/>
      </w:pPr>
      <w:r>
        <w:rPr>
          <w:rFonts w:ascii="Arial" w:cs="Arial" w:eastAsia="Arial" w:hAnsi="Arial"/>
          <w:b/>
          <w:bCs/>
          <w:color w:val="E64A19"/>
          <w:sz w:val="26"/>
          <w:szCs w:val="26"/>
        </w:rPr>
        <w:t xml:space="preserve">3.2 Change Management Logs</w:t>
      </w:r>
    </w:p>
    <w:p>
      <w:pPr>
        <w:pStyle w:val="ListParagraph"/>
        <w:numPr>
          <w:ilvl w:val="0"/>
          <w:numId w:val="2"/>
        </w:numPr>
        <w:spacing w:after="80"/>
      </w:pPr>
      <w:r>
        <w:rPr>
          <w:rFonts w:ascii="Arial" w:cs="Arial" w:eastAsia="Arial" w:hAnsi="Arial"/>
          <w:sz w:val="22"/>
          <w:szCs w:val="22"/>
        </w:rPr>
        <w:t xml:space="preserve">All changes to security configurations, access control policies, encryption key policies, network rules, and governance policies are captured in Azure Activity Logs and Azure Policy compliance logs. Each change record includes: change initiator, timestamp, resource modified, before/after configuration state, and associated change management ticket number.</w:t>
      </w:r>
    </w:p>
    <w:p>
      <w:pPr>
        <w:pStyle w:val="ListParagraph"/>
        <w:numPr>
          <w:ilvl w:val="0"/>
          <w:numId w:val="2"/>
        </w:numPr>
        <w:spacing w:after="80"/>
      </w:pPr>
      <w:r>
        <w:rPr>
          <w:rFonts w:ascii="Arial" w:cs="Arial" w:eastAsia="Arial" w:hAnsi="Arial"/>
          <w:sz w:val="22"/>
          <w:szCs w:val="22"/>
        </w:rPr>
        <w:t xml:space="preserve">Policy drift detection: Azure Policy continuously evaluates resource configurations against defined security baselines. Non-compliant resources are flagged in the compliance dashboard within 15 minutes of configuration change; auto-remediation is applied for in-scope policy violations where remediation is non-disruptive.</w:t>
      </w:r>
    </w:p>
    <w:p>
      <w:pPr>
        <w:pStyle w:val="ListParagraph"/>
        <w:numPr>
          <w:ilvl w:val="0"/>
          <w:numId w:val="2"/>
        </w:numPr>
        <w:spacing w:after="80"/>
      </w:pPr>
      <w:r>
        <w:rPr>
          <w:rFonts w:ascii="Arial" w:cs="Arial" w:eastAsia="Arial" w:hAnsi="Arial"/>
          <w:sz w:val="22"/>
          <w:szCs w:val="22"/>
        </w:rPr>
        <w:t xml:space="preserve">Key management change logs — key creation, rotation, version changes, access policy modifications — are recorded in Key Vault audit logs and cross-referenced with the Azure Confidential Ledger for tamper-evident evidence.</w:t>
      </w:r>
    </w:p>
    <w:p>
      <w:pPr>
        <w:pStyle w:val="Heading2"/>
      </w:pPr>
      <w:r>
        <w:rPr>
          <w:rFonts w:ascii="Arial" w:cs="Arial" w:eastAsia="Arial" w:hAnsi="Arial"/>
          <w:b/>
          <w:bCs/>
          <w:color w:val="E64A19"/>
          <w:sz w:val="26"/>
          <w:szCs w:val="26"/>
        </w:rPr>
        <w:t xml:space="preserve">3.3 Compliance Attestation Reports</w:t>
      </w:r>
    </w:p>
    <w:p>
      <w:pPr>
        <w:pStyle w:val="ListParagraph"/>
        <w:numPr>
          <w:ilvl w:val="0"/>
          <w:numId w:val="2"/>
        </w:numPr>
        <w:spacing w:after="80"/>
      </w:pPr>
      <w:r>
        <w:rPr>
          <w:rFonts w:ascii="Arial" w:cs="Arial" w:eastAsia="Arial" w:hAnsi="Arial"/>
          <w:sz w:val="22"/>
          <w:szCs w:val="22"/>
        </w:rPr>
        <w:t xml:space="preserve">Monthly Compliance Attestation: Automatically generated report compiling control implementation status, audit finding resolution status, training completion rates, access review completion rates, and incident summary statistics. Reviewed and signed by the CISO and CPO; retained as a regulatory compliance record.</w:t>
      </w:r>
    </w:p>
    <w:p>
      <w:pPr>
        <w:pStyle w:val="ListParagraph"/>
        <w:numPr>
          <w:ilvl w:val="0"/>
          <w:numId w:val="2"/>
        </w:numPr>
        <w:spacing w:after="80"/>
      </w:pPr>
      <w:r>
        <w:rPr>
          <w:rFonts w:ascii="Arial" w:cs="Arial" w:eastAsia="Arial" w:hAnsi="Arial"/>
          <w:sz w:val="22"/>
          <w:szCs w:val="22"/>
        </w:rPr>
        <w:t xml:space="preserve">HIPAA Annual Risk Analysis Report: Produced annually per §164.308(a)(1)(ii)(A) requirements; documents all identified risks to PHI confidentiality, integrity, and availability, their likelihood and impact ratings, current mitigating controls, and residual risk levels. Risk analysis evidence package submitted to the DGC for approval.</w:t>
      </w:r>
    </w:p>
    <w:p>
      <w:pPr>
        <w:pStyle w:val="ListParagraph"/>
        <w:numPr>
          <w:ilvl w:val="0"/>
          <w:numId w:val="2"/>
        </w:numPr>
        <w:spacing w:after="80"/>
      </w:pPr>
      <w:r>
        <w:rPr>
          <w:rFonts w:ascii="Arial" w:cs="Arial" w:eastAsia="Arial" w:hAnsi="Arial"/>
          <w:sz w:val="22"/>
          <w:szCs w:val="22"/>
        </w:rPr>
        <w:t xml:space="preserve">GDPR Records of Processing Activities (ROPA): Maintained in Microsoft Purview Data Map; automatically updated when new data processing activities are registered or existing activities are modified. ROPA exported for supervisory authority review upon request.</w:t>
      </w:r>
    </w:p>
    <w:p>
      <w:pPr>
        <w:pStyle w:val="ListParagraph"/>
        <w:numPr>
          <w:ilvl w:val="0"/>
          <w:numId w:val="2"/>
        </w:numPr>
        <w:spacing w:after="80"/>
      </w:pPr>
      <w:r>
        <w:rPr>
          <w:rFonts w:ascii="Arial" w:cs="Arial" w:eastAsia="Arial" w:hAnsi="Arial"/>
          <w:sz w:val="22"/>
          <w:szCs w:val="22"/>
        </w:rPr>
        <w:t xml:space="preserve">Third-Party Audit Support: Evidence packages for external auditors (HITRUST CSF, SOC 2 Type II, ISO 27001) are compiled automatically from the audit reporting framework — extracting relevant log samples, policy documents, control implementation evidence, and training records — reducing audit preparation time from weeks to hours.</w:t>
      </w:r>
    </w:p>
    <w:p>
      <w:pPr>
        <w:pStyle w:val="Heading2"/>
      </w:pPr>
      <w:r>
        <w:rPr>
          <w:rFonts w:ascii="Arial" w:cs="Arial" w:eastAsia="Arial" w:hAnsi="Arial"/>
          <w:b/>
          <w:bCs/>
          <w:color w:val="E64A19"/>
          <w:sz w:val="26"/>
          <w:szCs w:val="26"/>
        </w:rPr>
        <w:t xml:space="preserve">3.4 Compliance KPI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760"/>
        <w:gridCol w:w="2400"/>
      </w:tblGrid>
      <w:tr>
        <w:tc>
          <w:tcPr>
            <w:tcW w:type="dxa" w:w="3200"/>
            <w:tcBorders>
              <w:top w:val="single" w:color="CCCCCC" w:sz="1"/>
              <w:left w:val="single" w:color="CCCCCC" w:sz="1"/>
              <w:bottom w:val="single" w:color="CCCCCC" w:sz="1"/>
              <w:right w:val="single" w:color="CCCCCC" w:sz="1"/>
            </w:tcBorders>
            <w:shd w:fill="BF360C" w:val="clear"/>
            <w:tcMar>
              <w:top w:type="dxa" w:w="80"/>
              <w:left w:type="dxa" w:w="120"/>
              <w:bottom w:type="dxa" w:w="80"/>
              <w:right w:type="dxa" w:w="120"/>
            </w:tcMar>
          </w:tcPr>
          <w:p>
            <w:r>
              <w:rPr>
                <w:rFonts w:ascii="Arial" w:cs="Arial" w:eastAsia="Arial" w:hAnsi="Arial"/>
                <w:b/>
                <w:bCs/>
                <w:color w:val="FFFFFF"/>
                <w:sz w:val="19"/>
                <w:szCs w:val="19"/>
              </w:rPr>
              <w:t xml:space="preserve">KPI</w:t>
            </w:r>
          </w:p>
        </w:tc>
        <w:tc>
          <w:tcPr>
            <w:tcW w:type="dxa" w:w="2000"/>
            <w:tcBorders>
              <w:top w:val="single" w:color="CCCCCC" w:sz="1"/>
              <w:left w:val="single" w:color="CCCCCC" w:sz="1"/>
              <w:bottom w:val="single" w:color="CCCCCC" w:sz="1"/>
              <w:right w:val="single" w:color="CCCCCC" w:sz="1"/>
            </w:tcBorders>
            <w:shd w:fill="BF360C"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1760"/>
            <w:tcBorders>
              <w:top w:val="single" w:color="CCCCCC" w:sz="1"/>
              <w:left w:val="single" w:color="CCCCCC" w:sz="1"/>
              <w:bottom w:val="single" w:color="CCCCCC" w:sz="1"/>
              <w:right w:val="single" w:color="CCCCCC" w:sz="1"/>
            </w:tcBorders>
            <w:shd w:fill="BF360C"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c>
          <w:tcPr>
            <w:tcW w:type="dxa" w:w="2400"/>
            <w:tcBorders>
              <w:top w:val="single" w:color="CCCCCC" w:sz="1"/>
              <w:left w:val="single" w:color="CCCCCC" w:sz="1"/>
              <w:bottom w:val="single" w:color="CCCCCC" w:sz="1"/>
              <w:right w:val="single" w:color="CCCCCC" w:sz="1"/>
            </w:tcBorders>
            <w:shd w:fill="BF360C"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3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Overall Compliance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&gt;= 95%</w:t>
            </w:r>
          </w:p>
        </w:tc>
        <w:tc>
          <w:tcPr>
            <w:tcW w:type="dxa" w:w="17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Weekly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Compliance Manager</w:t>
            </w:r>
          </w:p>
        </w:tc>
      </w:tr>
      <w:tr>
        <w:tc>
          <w:tcPr>
            <w:tcW w:type="dxa" w:w="3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Access Review On-Time Completion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&gt;= 95%</w:t>
            </w:r>
          </w:p>
        </w:tc>
        <w:tc>
          <w:tcPr>
            <w:tcW w:type="dxa" w:w="17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Quarterly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Data Stewards</w:t>
            </w:r>
          </w:p>
        </w:tc>
      </w:tr>
      <w:tr>
        <w:tc>
          <w:tcPr>
            <w:tcW w:type="dxa" w:w="3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HIPAA Security Rule Control Coverage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w:t>
            </w:r>
          </w:p>
        </w:tc>
        <w:tc>
          <w:tcPr>
            <w:tcW w:type="dxa" w:w="17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Monthly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CISO</w:t>
            </w:r>
          </w:p>
        </w:tc>
      </w:tr>
      <w:tr>
        <w:tc>
          <w:tcPr>
            <w:tcW w:type="dxa" w:w="3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Security Training Completion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&gt;= 95% annually</w:t>
            </w:r>
          </w:p>
        </w:tc>
        <w:tc>
          <w:tcPr>
            <w:tcW w:type="dxa" w:w="17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Monthly tracking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HR + ISO</w:t>
            </w:r>
          </w:p>
        </w:tc>
      </w:tr>
      <w:tr>
        <w:tc>
          <w:tcPr>
            <w:tcW w:type="dxa" w:w="3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Mean Time to Detect (MTTD)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 1 hour</w:t>
            </w:r>
          </w:p>
        </w:tc>
        <w:tc>
          <w:tcPr>
            <w:tcW w:type="dxa" w:w="17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Monthly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SOC Lead</w:t>
            </w:r>
          </w:p>
        </w:tc>
      </w:tr>
      <w:tr>
        <w:tc>
          <w:tcPr>
            <w:tcW w:type="dxa" w:w="3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Mean Time to Respond (MTTR) — 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 4 hours</w:t>
            </w:r>
          </w:p>
        </w:tc>
        <w:tc>
          <w:tcPr>
            <w:tcW w:type="dxa" w:w="17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Monthly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SOC Lead</w:t>
            </w:r>
          </w:p>
        </w:tc>
      </w:tr>
      <w:tr>
        <w:tc>
          <w:tcPr>
            <w:tcW w:type="dxa" w:w="3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Open Critical Audit Findings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 beyond SLA</w:t>
            </w:r>
          </w:p>
        </w:tc>
        <w:tc>
          <w:tcPr>
            <w:tcW w:type="dxa" w:w="17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Weekly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Compliance Manager</w:t>
            </w:r>
          </w:p>
        </w:tc>
      </w:tr>
      <w:tr>
        <w:tc>
          <w:tcPr>
            <w:tcW w:type="dxa" w:w="3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BAA/DPA Currency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 current</w:t>
            </w:r>
          </w:p>
        </w:tc>
        <w:tc>
          <w:tcPr>
            <w:tcW w:type="dxa" w:w="17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Monthly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Legal + Privacy</w:t>
            </w:r>
          </w:p>
        </w:tc>
      </w:tr>
      <w:tr>
        <w:tc>
          <w:tcPr>
            <w:tcW w:type="dxa" w:w="3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De-identification Pipeline Success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&gt;= 99%</w:t>
            </w:r>
          </w:p>
        </w:tc>
        <w:tc>
          <w:tcPr>
            <w:tcW w:type="dxa" w:w="17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Daily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Data Engineering</w:t>
            </w:r>
          </w:p>
        </w:tc>
      </w:tr>
      <w:tr>
        <w:tc>
          <w:tcPr>
            <w:tcW w:type="dxa" w:w="3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Patch Compliance — Critical Vulnerabilities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 within 30 days</w:t>
            </w:r>
          </w:p>
        </w:tc>
        <w:tc>
          <w:tcPr>
            <w:tcW w:type="dxa" w:w="17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Arial" w:cs="Arial" w:eastAsia="Arial" w:hAnsi="Arial"/>
                <w:b w:val="false"/>
                <w:bCs w:val="false"/>
                <w:color w:val="000000"/>
                <w:sz w:val="19"/>
                <w:szCs w:val="19"/>
              </w:rPr>
              <w:t xml:space="preserve">Weekly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ISO</w:t>
            </w:r>
          </w:p>
        </w:tc>
      </w:tr>
    </w:tbl>
    <w:p>
      <w:r>
        <w:t xml:space="preserve"/>
      </w:r>
    </w:p>
    <w:p>
      <w:pPr>
        <w:pStyle w:val="Heading2"/>
      </w:pPr>
      <w:r>
        <w:rPr>
          <w:rFonts w:ascii="Arial" w:cs="Arial" w:eastAsia="Arial" w:hAnsi="Arial"/>
          <w:b/>
          <w:bCs/>
          <w:color w:val="E64A19"/>
          <w:sz w:val="26"/>
          <w:szCs w:val="26"/>
        </w:rPr>
        <w:t xml:space="preserve">3.5 Investigation Summary Reports</w:t>
      </w:r>
    </w:p>
    <w:p>
      <w:pPr>
        <w:pStyle w:val="ListParagraph"/>
        <w:numPr>
          <w:ilvl w:val="0"/>
          <w:numId w:val="2"/>
        </w:numPr>
        <w:spacing w:after="80"/>
      </w:pPr>
      <w:r>
        <w:rPr>
          <w:rFonts w:ascii="Arial" w:cs="Arial" w:eastAsia="Arial" w:hAnsi="Arial"/>
          <w:sz w:val="22"/>
          <w:szCs w:val="22"/>
        </w:rPr>
        <w:t xml:space="preserve">For every security incident or privacy event, a formal Investigation Summary Report is produced within 30 days of case closure. The report documents: incident timeline, affected systems and data, root cause determination, evidence collected, containment and eradication actions, regulatory notification decisions and timelines, and corrective actions implemented.</w:t>
      </w:r>
    </w:p>
    <w:p>
      <w:pPr>
        <w:pStyle w:val="ListParagraph"/>
        <w:numPr>
          <w:ilvl w:val="0"/>
          <w:numId w:val="2"/>
        </w:numPr>
        <w:spacing w:after="80"/>
      </w:pPr>
      <w:r>
        <w:rPr>
          <w:rFonts w:ascii="Arial" w:cs="Arial" w:eastAsia="Arial" w:hAnsi="Arial"/>
          <w:sz w:val="22"/>
          <w:szCs w:val="22"/>
        </w:rPr>
        <w:t xml:space="preserve">Investigation reports are classified as Restricted and retained for 7 years. A sanitized executive summary is provided to DGC; full technical reports maintained by the Security and Privacy Offices for regulatory production.</w:t>
      </w:r>
    </w:p>
    <w:p>
      <w:pPr>
        <w:pStyle w:val="ListParagraph"/>
        <w:numPr>
          <w:ilvl w:val="0"/>
          <w:numId w:val="2"/>
        </w:numPr>
        <w:spacing w:after="80"/>
      </w:pPr>
      <w:r>
        <w:rPr>
          <w:rFonts w:ascii="Arial" w:cs="Arial" w:eastAsia="Arial" w:hAnsi="Arial"/>
          <w:sz w:val="22"/>
          <w:szCs w:val="22"/>
        </w:rPr>
        <w:t xml:space="preserve">Lessons learned from investigations feed directly into the governance risk register and drive policy updates — closing the loop between operational monitoring and strategic governance improvement.</w:t>
      </w:r>
    </w:p>
    <w:p>
      <w:r>
        <w:t xml:space="preserve"/>
      </w:r>
    </w:p>
    <w:p>
      <w:pPr>
        <w:pBdr>
          <w:top w:val="single" w:color="E64A19" w:sz="6"/>
        </w:pBdr>
        <w:spacing w:before="400"/>
        <w:jc w:val="center"/>
      </w:pPr>
      <w:r>
        <w:rPr>
          <w:rFonts w:ascii="Arial" w:cs="Arial" w:eastAsia="Arial" w:hAnsi="Arial"/>
          <w:i/>
          <w:iCs/>
          <w:color w:val="595959"/>
          <w:sz w:val="18"/>
          <w:szCs w:val="18"/>
        </w:rPr>
        <w:t xml:space="preserve">Confidential | Healthcare Data Governance and Security System Portfolio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BF360C"/>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E64A1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2026-03-27T05:49:52.654Z</dcterms:created>
  <dcterms:modified xsi:type="dcterms:W3CDTF">2026-03-27T05:49:52.655Z</dcterms:modified>
</cp:coreProperties>
</file>

<file path=docProps/custom.xml><?xml version="1.0" encoding="utf-8"?>
<Properties xmlns="http://schemas.openxmlformats.org/officeDocument/2006/custom-properties" xmlns:vt="http://schemas.openxmlformats.org/officeDocument/2006/docPropsVTypes"/>
</file>