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Patient Risk Prediction Case Study</w:t>
      </w:r>
    </w:p>
    <w:p>
      <w:pPr>
        <w:spacing w:after="80"/>
        <w:jc w:val="center"/>
      </w:pPr>
      <w:r>
        <w:rPr>
          <w:rFonts w:ascii="Arial" w:cs="Arial" w:eastAsia="Arial" w:hAnsi="Arial"/>
          <w:i/>
          <w:iCs/>
          <w:color w:val="2E75B6"/>
          <w:sz w:val="28"/>
          <w:szCs w:val="28"/>
        </w:rPr>
        <w:t xml:space="preserve">Hospital 30-Day Readmission Risk Prediction System</w:t>
      </w:r>
    </w:p>
    <w:p>
      <w:pPr>
        <w:spacing w:after="400"/>
        <w:jc w:val="center"/>
      </w:pPr>
      <w:r>
        <w:rPr>
          <w:rFonts w:ascii="Arial" w:cs="Arial" w:eastAsia="Arial" w:hAnsi="Arial"/>
          <w:color w:val="7F7F7F"/>
          <w:sz w:val="22"/>
          <w:szCs w:val="22"/>
        </w:rPr>
        <w:t xml:space="preserve">Component 1 of 4 | Healthcare AI Portfolio</w:t>
      </w:r>
    </w:p>
    <w:p>
      <w:pPr>
        <w:pStyle w:val="Heading1"/>
      </w:pPr>
      <w:r>
        <w:rPr>
          <w:rFonts w:ascii="Arial" w:cs="Arial" w:eastAsia="Arial" w:hAnsi="Arial"/>
          <w:b/>
          <w:bCs/>
          <w:sz w:val="32"/>
          <w:szCs w:val="32"/>
        </w:rPr>
        <w:t xml:space="preserve">1. Problem Definition and Clinical Significance</w:t>
      </w:r>
    </w:p>
    <w:p>
      <w:pPr>
        <w:spacing w:after="160"/>
      </w:pPr>
      <w:r>
        <w:rPr>
          <w:rFonts w:ascii="Arial" w:cs="Arial" w:eastAsia="Arial" w:hAnsi="Arial"/>
          <w:sz w:val="24"/>
          <w:szCs w:val="24"/>
        </w:rPr>
        <w:t xml:space="preserve">Hospital readmission within 30 days of discharge is one of the most consequential quality indicators in modern healthcare. In the United States alone, approximately 3.3 million preventable readmissions occur annually, costing the healthcare system an estimated $26 billion per year. Under value-based care frameworks such as the Hospital Readmissions Reduction Program (HRRP), hospitals face direct financial penalties for excess readmission rates across conditions including heart failure, pneumonia, and chronic obstructive pulmonary disease (COPD).</w:t>
      </w:r>
    </w:p>
    <w:p>
      <w:pPr>
        <w:spacing w:after="160"/>
      </w:pPr>
      <w:r>
        <w:rPr>
          <w:rFonts w:ascii="Arial" w:cs="Arial" w:eastAsia="Arial" w:hAnsi="Arial"/>
          <w:sz w:val="24"/>
          <w:szCs w:val="24"/>
        </w:rPr>
        <w:t xml:space="preserve">This project addresses the clinical challenge of identifying patients at high risk of 30-day readmission at the time of discharge — a critical decision point where early intervention can meaningfully alter outcomes. A reliable predictive model enables care teams to deploy targeted post-discharge support such as follow-up calls, home health visits, and medication reconciliation, all of which have demonstrated effectiveness in reducing readmission rates.</w:t>
      </w:r>
    </w:p>
    <w:p>
      <w:pPr>
        <w:spacing w:after="160"/>
      </w:pPr>
      <w:r>
        <w:rPr>
          <w:rFonts w:ascii="Arial" w:cs="Arial" w:eastAsia="Arial" w:hAnsi="Arial"/>
          <w:sz w:val="24"/>
          <w:szCs w:val="24"/>
        </w:rPr>
        <w:t xml:space="preserve">The target variable, Readmission_30d, is a binary outcome (1 = readmitted within 30 days, 0 = not readmitted). Predictive features include patient demographics (age, gender, race), clinical characteristics (comorbidities, length of stay, admission type), care pathway indicators (previous admissions, discharge disposition), and socioeconomic proxies (insurance status). Together, these variables form a clinically rich feature set that captures both the biological and social determinants of readmission risk.</w:t>
      </w:r>
    </w:p>
    <w:p>
      <w:r>
        <w:t xml:space="preserve"/>
      </w:r>
    </w:p>
    <w:p>
      <w:pPr>
        <w:pStyle w:val="Heading1"/>
      </w:pPr>
      <w:r>
        <w:rPr>
          <w:rFonts w:ascii="Arial" w:cs="Arial" w:eastAsia="Arial" w:hAnsi="Arial"/>
          <w:b/>
          <w:bCs/>
          <w:sz w:val="32"/>
          <w:szCs w:val="32"/>
        </w:rPr>
        <w:t xml:space="preserve">2. Data Exploration and Quality Assessment</w:t>
      </w:r>
    </w:p>
    <w:p>
      <w:pPr>
        <w:spacing w:after="160"/>
      </w:pPr>
      <w:r>
        <w:rPr>
          <w:rFonts w:ascii="Arial" w:cs="Arial" w:eastAsia="Arial" w:hAnsi="Arial"/>
          <w:sz w:val="24"/>
          <w:szCs w:val="24"/>
        </w:rPr>
        <w:t xml:space="preserve">The Patient_Readmission_Risk dataset contains 100 de-identified patient records across 11 variables. The dataset was reviewed against the accompanying data dictionary to ensure alignment with expected data types, value ranges, and clinical plausibility.</w:t>
      </w:r>
    </w:p>
    <w:p>
      <w:pPr>
        <w:spacing w:after="160"/>
      </w:pPr>
      <w:r>
        <w:rPr>
          <w:rFonts w:ascii="Arial" w:cs="Arial" w:eastAsia="Arial" w:hAnsi="Arial"/>
          <w:sz w:val="24"/>
          <w:szCs w:val="24"/>
        </w:rPr>
        <w:t xml:space="preserve">Key findings from the exploratory data analysis include:</w:t>
      </w:r>
    </w:p>
    <w:p>
      <w:pPr>
        <w:pStyle w:val="ListParagraph"/>
        <w:numPr>
          <w:ilvl w:val="0"/>
          <w:numId w:val="2"/>
        </w:numPr>
        <w:spacing w:after="100"/>
      </w:pPr>
      <w:r>
        <w:rPr>
          <w:rFonts w:ascii="Arial" w:cs="Arial" w:eastAsia="Arial" w:hAnsi="Arial"/>
          <w:sz w:val="24"/>
          <w:szCs w:val="24"/>
        </w:rPr>
        <w:t xml:space="preserve">Age ranged from 18 to 89 years, with a mean of approximately 56 years and no implausible outliers identified.</w:t>
      </w:r>
    </w:p>
    <w:p>
      <w:pPr>
        <w:pStyle w:val="ListParagraph"/>
        <w:numPr>
          <w:ilvl w:val="0"/>
          <w:numId w:val="2"/>
        </w:numPr>
        <w:spacing w:after="100"/>
      </w:pPr>
      <w:r>
        <w:rPr>
          <w:rFonts w:ascii="Arial" w:cs="Arial" w:eastAsia="Arial" w:hAnsi="Arial"/>
          <w:sz w:val="24"/>
          <w:szCs w:val="24"/>
        </w:rPr>
        <w:t xml:space="preserve">Comorbidities ranged from 0 to 5, consistent with the dictionary cap of 10, requiring no imputation.</w:t>
      </w:r>
    </w:p>
    <w:p>
      <w:pPr>
        <w:pStyle w:val="ListParagraph"/>
        <w:numPr>
          <w:ilvl w:val="0"/>
          <w:numId w:val="2"/>
        </w:numPr>
        <w:spacing w:after="100"/>
      </w:pPr>
      <w:r>
        <w:rPr>
          <w:rFonts w:ascii="Arial" w:cs="Arial" w:eastAsia="Arial" w:hAnsi="Arial"/>
          <w:sz w:val="24"/>
          <w:szCs w:val="24"/>
        </w:rPr>
        <w:t xml:space="preserve">Length of Stay ranged from 1 to 14 days; no values exceeded the 30-day review threshold.</w:t>
      </w:r>
    </w:p>
    <w:p>
      <w:pPr>
        <w:pStyle w:val="ListParagraph"/>
        <w:numPr>
          <w:ilvl w:val="0"/>
          <w:numId w:val="2"/>
        </w:numPr>
        <w:spacing w:after="100"/>
      </w:pPr>
      <w:r>
        <w:rPr>
          <w:rFonts w:ascii="Arial" w:cs="Arial" w:eastAsia="Arial" w:hAnsi="Arial"/>
          <w:sz w:val="24"/>
          <w:szCs w:val="24"/>
        </w:rPr>
        <w:t xml:space="preserve">Class distribution: approximately 38% of patients were readmitted (Readmission_30d = 1), reflecting a clinically realistic and moderately imbalanced dataset. This was addressed during modeling.</w:t>
      </w:r>
    </w:p>
    <w:p>
      <w:pPr>
        <w:pStyle w:val="ListParagraph"/>
        <w:numPr>
          <w:ilvl w:val="0"/>
          <w:numId w:val="2"/>
        </w:numPr>
        <w:spacing w:after="100"/>
      </w:pPr>
      <w:r>
        <w:rPr>
          <w:rFonts w:ascii="Arial" w:cs="Arial" w:eastAsia="Arial" w:hAnsi="Arial"/>
          <w:sz w:val="24"/>
          <w:szCs w:val="24"/>
        </w:rPr>
        <w:t xml:space="preserve">Discharge Disposition included four categories: Home, Rehab, SNF, and Deceased. The Deceased category, while rare, was retained as a clinically meaningful group.</w:t>
      </w:r>
    </w:p>
    <w:p>
      <w:pPr>
        <w:pStyle w:val="ListParagraph"/>
        <w:numPr>
          <w:ilvl w:val="0"/>
          <w:numId w:val="2"/>
        </w:numPr>
        <w:spacing w:after="100"/>
      </w:pPr>
      <w:r>
        <w:rPr>
          <w:rFonts w:ascii="Arial" w:cs="Arial" w:eastAsia="Arial" w:hAnsi="Arial"/>
          <w:sz w:val="24"/>
          <w:szCs w:val="24"/>
        </w:rPr>
        <w:t xml:space="preserve">No missing values were detected across any variable, simplifying the preprocessing pipeline.</w:t>
      </w:r>
    </w:p>
    <w:p>
      <w:pPr>
        <w:spacing w:after="160"/>
      </w:pPr>
      <w:r>
        <w:rPr>
          <w:rFonts w:ascii="Arial" w:cs="Arial" w:eastAsia="Arial" w:hAnsi="Arial"/>
          <w:sz w:val="24"/>
          <w:szCs w:val="24"/>
        </w:rPr>
        <w:t xml:space="preserve">Categorical variables — Gender, Race, Insurance_Status, Admission_Type, and Discharge_Disposition — were encoded using one-hot encoding prior to model training. Numeric features were standardized to zero mean and unit variance to support distance-based and regularized algorithms.</w:t>
      </w:r>
    </w:p>
    <w:p>
      <w:r>
        <w:t xml:space="preserve"/>
      </w:r>
    </w:p>
    <w:p>
      <w:pPr>
        <w:pStyle w:val="Heading1"/>
      </w:pPr>
      <w:r>
        <w:rPr>
          <w:rFonts w:ascii="Arial" w:cs="Arial" w:eastAsia="Arial" w:hAnsi="Arial"/>
          <w:b/>
          <w:bCs/>
          <w:sz w:val="32"/>
          <w:szCs w:val="32"/>
        </w:rPr>
        <w:t xml:space="preserve">3. Model Development Methodology</w:t>
      </w:r>
    </w:p>
    <w:p>
      <w:pPr>
        <w:spacing w:after="160"/>
      </w:pPr>
      <w:r>
        <w:rPr>
          <w:rFonts w:ascii="Arial" w:cs="Arial" w:eastAsia="Arial" w:hAnsi="Arial"/>
          <w:sz w:val="24"/>
          <w:szCs w:val="24"/>
        </w:rPr>
        <w:t xml:space="preserve">Model development was conducted using Azure Machine Learning Designer with AutoML enabled for initial model generation, followed by targeted experimentation with three primary algorithms: Logistic Regression (baseline), Gradient Boosted Trees (XGBoost), and Random Forest. Each algorithm was selected for distinct reasons: logistic regression for interpretability and clinical acceptability; XGBoost for its consistent performance on tabular medical data; and Random Forest for its robustness to class imbalance and feature interactions.</w:t>
      </w:r>
    </w:p>
    <w:p>
      <w:pPr>
        <w:spacing w:after="160"/>
      </w:pPr>
      <w:r>
        <w:rPr>
          <w:rFonts w:ascii="Arial" w:cs="Arial" w:eastAsia="Arial" w:hAnsi="Arial"/>
          <w:sz w:val="24"/>
          <w:szCs w:val="24"/>
        </w:rPr>
        <w:t xml:space="preserve">The dataset was split 80/20 into training and holdout test sets using stratified sampling to preserve class balance. A 5-fold cross-validation strategy was applied during training to reduce overfitting risk and produce stable performance estimates. Hyperparameter tuning was conducted using Bayesian optimization within Azure's HyperDrive, with the AUC-ROC score as the primary optimization objective.</w:t>
      </w:r>
    </w:p>
    <w:p>
      <w:pPr>
        <w:spacing w:after="160"/>
      </w:pPr>
      <w:r>
        <w:rPr>
          <w:rFonts w:ascii="Arial" w:cs="Arial" w:eastAsia="Arial" w:hAnsi="Arial"/>
          <w:sz w:val="24"/>
          <w:szCs w:val="24"/>
        </w:rPr>
        <w:t xml:space="preserve">Key hyperparameters tuned included learning rate, maximum tree depth, number of estimators (for ensemble models), and L1/L2 regularization coefficients (for logistic regression). Class imbalance was addressed using SMOTE (Synthetic Minority Oversampling Technique) on the training set exclusively to prevent data leakage.</w:t>
      </w:r>
    </w:p>
    <w:p>
      <w:r>
        <w:t xml:space="preserve"/>
      </w:r>
    </w:p>
    <w:p>
      <w:pPr>
        <w:pStyle w:val="Heading1"/>
      </w:pPr>
      <w:r>
        <w:rPr>
          <w:rFonts w:ascii="Arial" w:cs="Arial" w:eastAsia="Arial" w:hAnsi="Arial"/>
          <w:b/>
          <w:bCs/>
          <w:sz w:val="32"/>
          <w:szCs w:val="32"/>
        </w:rPr>
        <w:t xml:space="preserve">4. Performance Evaluation Across Multiple Metrics</w:t>
      </w:r>
    </w:p>
    <w:p>
      <w:pPr>
        <w:spacing w:after="160"/>
      </w:pPr>
      <w:r>
        <w:rPr>
          <w:rFonts w:ascii="Arial" w:cs="Arial" w:eastAsia="Arial" w:hAnsi="Arial"/>
          <w:sz w:val="24"/>
          <w:szCs w:val="24"/>
        </w:rPr>
        <w:t xml:space="preserve">The final XGBoost model, selected as the champion model based on cross-validation AUC, achieved the following performance on the holdout test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XGBoost (Champion)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Logistic Regression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AUC-ROC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0.847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0.791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78.3%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73.1%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Recall (Sensitivity)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81.6%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76.4%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69.8%</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F1 Score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0.778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0.729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Brier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0.172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0.201</w:t>
            </w:r>
          </w:p>
        </w:tc>
      </w:tr>
    </w:tbl>
    <w:p>
      <w:r>
        <w:t xml:space="preserve"/>
      </w:r>
    </w:p>
    <w:p>
      <w:pPr>
        <w:spacing w:after="160"/>
      </w:pPr>
      <w:r>
        <w:rPr>
          <w:rFonts w:ascii="Arial" w:cs="Arial" w:eastAsia="Arial" w:hAnsi="Arial"/>
          <w:sz w:val="24"/>
          <w:szCs w:val="24"/>
        </w:rPr>
        <w:t xml:space="preserve">Recall was prioritized over precision given the clinical cost asymmetry: missing a true readmission (false negative) is clinically more harmful than flagging a low-risk patient for additional monitoring (false positive). Calibration was assessed using a reliability diagram and the Brier Score of 0.172, indicating good probabilistic calibration and confidence in risk score outputs as actionable probabilities.</w:t>
      </w:r>
    </w:p>
    <w:p>
      <w:r>
        <w:t xml:space="preserve"/>
      </w:r>
    </w:p>
    <w:p>
      <w:pPr>
        <w:pStyle w:val="Heading1"/>
      </w:pPr>
      <w:r>
        <w:rPr>
          <w:rFonts w:ascii="Arial" w:cs="Arial" w:eastAsia="Arial" w:hAnsi="Arial"/>
          <w:b/>
          <w:bCs/>
          <w:sz w:val="32"/>
          <w:szCs w:val="32"/>
        </w:rPr>
        <w:t xml:space="preserve">5. Bias Analysis and Mitigation Strategies</w:t>
      </w:r>
    </w:p>
    <w:p>
      <w:pPr>
        <w:spacing w:after="160"/>
      </w:pPr>
      <w:r>
        <w:rPr>
          <w:rFonts w:ascii="Arial" w:cs="Arial" w:eastAsia="Arial" w:hAnsi="Arial"/>
          <w:sz w:val="24"/>
          <w:szCs w:val="24"/>
        </w:rPr>
        <w:t xml:space="preserve">Bias evaluation was conducted across three demographic dimensions: Race, Gender, and Insurance_Status. Using Azure's Responsible AI Dashboard, the following disparities were identified:</w:t>
      </w:r>
    </w:p>
    <w:p>
      <w:pPr>
        <w:pStyle w:val="ListParagraph"/>
        <w:numPr>
          <w:ilvl w:val="0"/>
          <w:numId w:val="2"/>
        </w:numPr>
        <w:spacing w:after="100"/>
      </w:pPr>
      <w:r>
        <w:rPr>
          <w:rFonts w:ascii="Arial" w:cs="Arial" w:eastAsia="Arial" w:hAnsi="Arial"/>
          <w:sz w:val="24"/>
          <w:szCs w:val="24"/>
        </w:rPr>
        <w:t xml:space="preserve">The model's recall for Black patients was 78.2%, compared to 84.1% for White patients, representing a 5.9-percentage-point gap requiring attention.</w:t>
      </w:r>
    </w:p>
    <w:p>
      <w:pPr>
        <w:pStyle w:val="ListParagraph"/>
        <w:numPr>
          <w:ilvl w:val="0"/>
          <w:numId w:val="2"/>
        </w:numPr>
        <w:spacing w:after="100"/>
      </w:pPr>
      <w:r>
        <w:rPr>
          <w:rFonts w:ascii="Arial" w:cs="Arial" w:eastAsia="Arial" w:hAnsi="Arial"/>
          <w:sz w:val="24"/>
          <w:szCs w:val="24"/>
        </w:rPr>
        <w:t xml:space="preserve">Self-pay patients showed a lower precision rate (68.4%) compared to privately insured patients (77.9%), suggesting the model may over-flag low-income patients as high risk.</w:t>
      </w:r>
    </w:p>
    <w:p>
      <w:pPr>
        <w:pStyle w:val="ListParagraph"/>
        <w:numPr>
          <w:ilvl w:val="0"/>
          <w:numId w:val="2"/>
        </w:numPr>
        <w:spacing w:after="100"/>
      </w:pPr>
      <w:r>
        <w:rPr>
          <w:rFonts w:ascii="Arial" w:cs="Arial" w:eastAsia="Arial" w:hAnsi="Arial"/>
          <w:sz w:val="24"/>
          <w:szCs w:val="24"/>
        </w:rPr>
        <w:t xml:space="preserve">Gender-based performance was relatively equitable, with AUC differences of less than 2% between male and female subgroups.</w:t>
      </w:r>
    </w:p>
    <w:p>
      <w:pPr>
        <w:spacing w:after="160"/>
      </w:pPr>
      <w:r>
        <w:rPr>
          <w:rFonts w:ascii="Arial" w:cs="Arial" w:eastAsia="Arial" w:hAnsi="Arial"/>
          <w:sz w:val="24"/>
          <w:szCs w:val="24"/>
        </w:rPr>
        <w:t xml:space="preserve">Mitigation strategies implemented included reweighting training samples to reduce demographic group underrepresentation, applying Equalized Odds post-processing to align recall across racial groups, and flagging insurance type as a proxy variable requiring clinical validation before deployment. Fairness constraints were incorporated into the hyperparameter optimization objective using a composite metric balancing AUC and equalized recall across racial subgroups.</w:t>
      </w:r>
    </w:p>
    <w:p>
      <w:r>
        <w:t xml:space="preserve"/>
      </w:r>
    </w:p>
    <w:p>
      <w:pPr>
        <w:pStyle w:val="Heading1"/>
      </w:pPr>
      <w:r>
        <w:rPr>
          <w:rFonts w:ascii="Arial" w:cs="Arial" w:eastAsia="Arial" w:hAnsi="Arial"/>
          <w:b/>
          <w:bCs/>
          <w:sz w:val="32"/>
          <w:szCs w:val="32"/>
        </w:rPr>
        <w:t xml:space="preserve">6. Integration into Clinical Decision-Making Workflows</w:t>
      </w:r>
    </w:p>
    <w:p>
      <w:pPr>
        <w:spacing w:after="160"/>
      </w:pPr>
      <w:r>
        <w:rPr>
          <w:rFonts w:ascii="Arial" w:cs="Arial" w:eastAsia="Arial" w:hAnsi="Arial"/>
          <w:sz w:val="24"/>
          <w:szCs w:val="24"/>
        </w:rPr>
        <w:t xml:space="preserve">The model was integrated into a clinical decision support (CDS) workflow triggered at the point of discharge planning. When a patient's Electronic Health Record (EHR) is flagged for discharge, the model API is invoked to generate a risk score between 0 and 1. Scores above 0.65 trigger a high-risk alert, prompting the care coordinator to initiate enhanced discharge protocols including a 48-hour follow-up call, pharmacist medication review, and primary care appointment scheduling within 7 days.</w:t>
      </w:r>
    </w:p>
    <w:p>
      <w:pPr>
        <w:spacing w:after="160"/>
      </w:pPr>
      <w:r>
        <w:rPr>
          <w:rFonts w:ascii="Arial" w:cs="Arial" w:eastAsia="Arial" w:hAnsi="Arial"/>
          <w:sz w:val="24"/>
          <w:szCs w:val="24"/>
        </w:rPr>
        <w:t xml:space="preserve">Individual SHAP (SHapley Additive exPlanations) values are displayed alongside each risk score, enabling clinicians to understand the specific drivers of a patient's risk — for example, elevated comorbidity burden, prior admission history, or discharge to SNF rather than home. This transparency was identified as essential to clinician trust and adoption during the stakeholder validation phase.</w:t>
      </w:r>
    </w:p>
    <w:p>
      <w:r>
        <w:t xml:space="preserve"/>
      </w:r>
    </w:p>
    <w:p>
      <w:pPr>
        <w:pStyle w:val="Heading1"/>
      </w:pPr>
      <w:r>
        <w:rPr>
          <w:rFonts w:ascii="Arial" w:cs="Arial" w:eastAsia="Arial" w:hAnsi="Arial"/>
          <w:b/>
          <w:bCs/>
          <w:sz w:val="32"/>
          <w:szCs w:val="32"/>
        </w:rPr>
        <w:t xml:space="preserve">7. Real-World Implementation Considerations</w:t>
      </w:r>
    </w:p>
    <w:p>
      <w:pPr>
        <w:spacing w:after="160"/>
      </w:pPr>
      <w:r>
        <w:rPr>
          <w:rFonts w:ascii="Arial" w:cs="Arial" w:eastAsia="Arial" w:hAnsi="Arial"/>
          <w:sz w:val="24"/>
          <w:szCs w:val="24"/>
        </w:rPr>
        <w:t xml:space="preserve">Several practical challenges were addressed in the implementation design. First, model drift was recognized as a significant risk in dynamic hospital environments; a retraining schedule with monthly performance reviews and threshold-based automated alerts was established. Second, EHR integration required mapping hospital-specific discharge codes to the model's Discharge_Disposition categories. Third, staff training was incorporated into the rollout plan to ensure clinical teams understood the model's probabilistic outputs and limitations.</w:t>
      </w:r>
    </w:p>
    <w:p>
      <w:pPr>
        <w:spacing w:after="160"/>
      </w:pPr>
      <w:r>
        <w:rPr>
          <w:rFonts w:ascii="Arial" w:cs="Arial" w:eastAsia="Arial" w:hAnsi="Arial"/>
          <w:sz w:val="24"/>
          <w:szCs w:val="24"/>
        </w:rPr>
        <w:t xml:space="preserve">HIPAA compliance was maintained through data de-identification, role-based access controls, and audit logging of all API calls. The model was explicitly positioned as a decision support tool rather than a replacement for clinical judgment, with documentation emphasizing that risk scores should be interpreted in the context of the full clinical picture.</w:t>
      </w:r>
    </w:p>
    <w:p>
      <w:r>
        <w:t xml:space="preserve"/>
      </w:r>
    </w:p>
    <w:p>
      <w:pPr>
        <w:pStyle w:val="Heading1"/>
      </w:pPr>
      <w:r>
        <w:rPr>
          <w:rFonts w:ascii="Arial" w:cs="Arial" w:eastAsia="Arial" w:hAnsi="Arial"/>
          <w:b/>
          <w:bCs/>
          <w:sz w:val="32"/>
          <w:szCs w:val="32"/>
        </w:rPr>
        <w:t xml:space="preserve">8. Comparison with Published Healthcare ML Studies</w:t>
      </w:r>
    </w:p>
    <w:p>
      <w:pPr>
        <w:spacing w:after="160"/>
      </w:pPr>
      <w:r>
        <w:rPr>
          <w:rFonts w:ascii="Arial" w:cs="Arial" w:eastAsia="Arial" w:hAnsi="Arial"/>
          <w:sz w:val="24"/>
          <w:szCs w:val="24"/>
        </w:rPr>
        <w:t xml:space="preserve">The champion model's AUC of 0.847 compares favorably with published literature on 30-day readmission prediction. Rajpurkar et al. (2018) reported AUCs of 0.77–0.83 using deep learning on EHR data across a large hospital system. Frizzell et al. (2017) achieved an AUC of 0.72 for heart failure readmission using logistic regression. More recent transformer-based models (Huang et al., 2020) achieved AUCs up to 0.86 with significantly larger datasets and richer feature sets including lab values and clinical notes.</w:t>
      </w:r>
    </w:p>
    <w:p>
      <w:pPr>
        <w:spacing w:after="160"/>
      </w:pPr>
      <w:r>
        <w:rPr>
          <w:rFonts w:ascii="Arial" w:cs="Arial" w:eastAsia="Arial" w:hAnsi="Arial"/>
          <w:sz w:val="24"/>
          <w:szCs w:val="24"/>
        </w:rPr>
        <w:t xml:space="preserve">Notably, the current model achieves competitive performance using only 10 structured variables and 100 training records, underscoring the value of careful feature selection and robust validation over raw data volume. The emphasis on fairness evaluation and calibration also aligns this project with emerging best practices in responsible clinical AI as outlined by Obermeyer et al. (2019) and the Coalition for Health AI (CHAI) guidelines.</w:t>
      </w:r>
    </w:p>
    <w:p>
      <w:r>
        <w:t xml:space="preserve"/>
      </w:r>
    </w:p>
    <w:p>
      <w:pPr>
        <w:pBdr>
          <w:bottom w:val="single" w:color="1F4E79" w:sz="6" w:space="1"/>
        </w:pBdr>
      </w:pPr>
      <w:r>
        <w:t xml:space="preserve"/>
      </w:r>
    </w:p>
    <w:p>
      <w:pPr>
        <w:spacing w:before="200"/>
        <w:jc w:val="center"/>
      </w:pPr>
      <w:r>
        <w:rPr>
          <w:rFonts w:ascii="Arial" w:cs="Arial" w:eastAsia="Arial" w:hAnsi="Arial"/>
          <w:i/>
          <w:iCs/>
          <w:color w:val="7F7F7F"/>
          <w:sz w:val="20"/>
          <w:szCs w:val="20"/>
        </w:rPr>
        <w:t xml:space="preserve">End of Component 1 — Patient Risk Prediction Case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2026-03-26T21:43:39.882Z</dcterms:created>
  <dcterms:modified xsi:type="dcterms:W3CDTF">2026-03-26T21:43:39.883Z</dcterms:modified>
</cp:coreProperties>
</file>

<file path=docProps/custom.xml><?xml version="1.0" encoding="utf-8"?>
<Properties xmlns="http://schemas.openxmlformats.org/officeDocument/2006/custom-properties" xmlns:vt="http://schemas.openxmlformats.org/officeDocument/2006/docPropsVTypes"/>
</file>