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Model Development and Validation Summary</w:t>
      </w:r>
    </w:p>
    <w:p>
      <w:pPr>
        <w:spacing w:after="80"/>
        <w:jc w:val="center"/>
      </w:pPr>
      <w:r>
        <w:rPr>
          <w:rFonts w:ascii="Arial" w:cs="Arial" w:eastAsia="Arial" w:hAnsi="Arial"/>
          <w:i/>
          <w:iCs/>
          <w:color w:val="2E75B6"/>
          <w:sz w:val="26"/>
          <w:szCs w:val="26"/>
        </w:rPr>
        <w:t xml:space="preserve">30-Day Hospital Readmission Risk Prediction</w:t>
      </w:r>
    </w:p>
    <w:p>
      <w:pPr>
        <w:spacing w:after="400"/>
        <w:jc w:val="center"/>
      </w:pPr>
      <w:r>
        <w:rPr>
          <w:rFonts w:ascii="Arial" w:cs="Arial" w:eastAsia="Arial" w:hAnsi="Arial"/>
          <w:color w:val="7F7F7F"/>
          <w:sz w:val="22"/>
          <w:szCs w:val="22"/>
        </w:rPr>
        <w:t xml:space="preserve">Component 2 of 4 | Healthcare AI Portfolio</w:t>
      </w:r>
    </w:p>
    <w:p>
      <w:pPr>
        <w:pStyle w:val="Heading1"/>
      </w:pPr>
      <w:r>
        <w:rPr>
          <w:rFonts w:ascii="Arial" w:cs="Arial" w:eastAsia="Arial" w:hAnsi="Arial"/>
          <w:b/>
          <w:bCs/>
          <w:sz w:val="32"/>
          <w:szCs w:val="32"/>
        </w:rPr>
        <w:t xml:space="preserve">Scenario and Data Preparation</w:t>
      </w:r>
    </w:p>
    <w:p>
      <w:pPr>
        <w:spacing w:after="160"/>
      </w:pPr>
      <w:r>
        <w:rPr>
          <w:rFonts w:ascii="Arial" w:cs="Arial" w:eastAsia="Arial" w:hAnsi="Arial"/>
          <w:sz w:val="24"/>
          <w:szCs w:val="24"/>
        </w:rPr>
        <w:t xml:space="preserve">The selected scenario is Hospital Readmission Risk (30-Day), targeting the binary outcome Readmission_30d. This scenario was chosen for its direct alignment with value-based care quality metrics and the availability of structured clinical features suitable for machine learning. The dataset comprised 100 de-identified patient records with 10 predictor variables spanning demographic, clinical, and administrative domains.</w:t>
      </w:r>
    </w:p>
    <w:p>
      <w:pPr>
        <w:spacing w:after="160"/>
      </w:pPr>
      <w:r>
        <w:rPr>
          <w:rFonts w:ascii="Arial" w:cs="Arial" w:eastAsia="Arial" w:hAnsi="Arial"/>
          <w:sz w:val="24"/>
          <w:szCs w:val="24"/>
        </w:rPr>
        <w:t xml:space="preserve">Data preparation steps included:</w:t>
      </w:r>
    </w:p>
    <w:p>
      <w:pPr>
        <w:pStyle w:val="ListParagraph"/>
        <w:numPr>
          <w:ilvl w:val="0"/>
          <w:numId w:val="2"/>
        </w:numPr>
        <w:spacing w:after="100"/>
      </w:pPr>
      <w:r>
        <w:rPr>
          <w:rFonts w:ascii="Arial" w:cs="Arial" w:eastAsia="Arial" w:hAnsi="Arial"/>
          <w:sz w:val="24"/>
          <w:szCs w:val="24"/>
        </w:rPr>
        <w:t xml:space="preserve">One-hot encoding of five categorical variables: Gender, Race, Insurance_Status, Admission_Type, and Discharge_Disposition.</w:t>
      </w:r>
    </w:p>
    <w:p>
      <w:pPr>
        <w:pStyle w:val="ListParagraph"/>
        <w:numPr>
          <w:ilvl w:val="0"/>
          <w:numId w:val="2"/>
        </w:numPr>
        <w:spacing w:after="100"/>
      </w:pPr>
      <w:r>
        <w:rPr>
          <w:rFonts w:ascii="Arial" w:cs="Arial" w:eastAsia="Arial" w:hAnsi="Arial"/>
          <w:sz w:val="24"/>
          <w:szCs w:val="24"/>
        </w:rPr>
        <w:t xml:space="preserve">Standard scaling (z-score normalization) applied to numeric variables: Age, Comorbidities, Length_of_Stay, and Previous_Admissions.</w:t>
      </w:r>
    </w:p>
    <w:p>
      <w:pPr>
        <w:pStyle w:val="ListParagraph"/>
        <w:numPr>
          <w:ilvl w:val="0"/>
          <w:numId w:val="2"/>
        </w:numPr>
        <w:spacing w:after="100"/>
      </w:pPr>
      <w:r>
        <w:rPr>
          <w:rFonts w:ascii="Arial" w:cs="Arial" w:eastAsia="Arial" w:hAnsi="Arial"/>
          <w:sz w:val="24"/>
          <w:szCs w:val="24"/>
        </w:rPr>
        <w:t xml:space="preserve">Stratified 80/20 train-test split preserving the 38% positive class ratio.</w:t>
      </w:r>
    </w:p>
    <w:p>
      <w:pPr>
        <w:pStyle w:val="ListParagraph"/>
        <w:numPr>
          <w:ilvl w:val="0"/>
          <w:numId w:val="2"/>
        </w:numPr>
        <w:spacing w:after="100"/>
      </w:pPr>
      <w:r>
        <w:rPr>
          <w:rFonts w:ascii="Arial" w:cs="Arial" w:eastAsia="Arial" w:hAnsi="Arial"/>
          <w:sz w:val="24"/>
          <w:szCs w:val="24"/>
        </w:rPr>
        <w:t xml:space="preserve">SMOTE applied exclusively within the training fold during cross-validation to address class imbalance without data leakage.</w:t>
      </w:r>
    </w:p>
    <w:p>
      <w:pPr>
        <w:pStyle w:val="ListParagraph"/>
        <w:numPr>
          <w:ilvl w:val="0"/>
          <w:numId w:val="2"/>
        </w:numPr>
        <w:spacing w:after="100"/>
      </w:pPr>
      <w:r>
        <w:rPr>
          <w:rFonts w:ascii="Arial" w:cs="Arial" w:eastAsia="Arial" w:hAnsi="Arial"/>
          <w:sz w:val="24"/>
          <w:szCs w:val="24"/>
        </w:rPr>
        <w:t xml:space="preserve">No missing values were detected; no imputation was required.</w:t>
      </w:r>
    </w:p>
    <w:p>
      <w:r>
        <w:t xml:space="preserve"/>
      </w:r>
    </w:p>
    <w:p>
      <w:pPr>
        <w:pStyle w:val="Heading1"/>
      </w:pPr>
      <w:r>
        <w:rPr>
          <w:rFonts w:ascii="Arial" w:cs="Arial" w:eastAsia="Arial" w:hAnsi="Arial"/>
          <w:b/>
          <w:bCs/>
          <w:sz w:val="32"/>
          <w:szCs w:val="32"/>
        </w:rPr>
        <w:t xml:space="preserve">Algorithm Selection and Hyperparameter Tuning</w:t>
      </w:r>
    </w:p>
    <w:p>
      <w:pPr>
        <w:spacing w:after="160"/>
      </w:pPr>
      <w:r>
        <w:rPr>
          <w:rFonts w:ascii="Arial" w:cs="Arial" w:eastAsia="Arial" w:hAnsi="Arial"/>
          <w:sz w:val="24"/>
          <w:szCs w:val="24"/>
        </w:rPr>
        <w:t xml:space="preserve">Three algorithms were evaluated in Azure Machine Learning Designer:</w:t>
      </w:r>
    </w:p>
    <w:p>
      <w:pPr>
        <w:pStyle w:val="ListParagraph"/>
        <w:numPr>
          <w:ilvl w:val="0"/>
          <w:numId w:val="2"/>
        </w:numPr>
        <w:spacing w:after="100"/>
      </w:pPr>
      <w:r>
        <w:rPr>
          <w:rFonts w:ascii="Arial" w:cs="Arial" w:eastAsia="Arial" w:hAnsi="Arial"/>
          <w:sz w:val="24"/>
          <w:szCs w:val="24"/>
        </w:rPr>
        <w:t xml:space="preserve">Logistic Regression (Baseline): Interpretable, clinically familiar, with L2 regularization. Served as the interpretability benchmark.</w:t>
      </w:r>
    </w:p>
    <w:p>
      <w:pPr>
        <w:pStyle w:val="ListParagraph"/>
        <w:numPr>
          <w:ilvl w:val="0"/>
          <w:numId w:val="2"/>
        </w:numPr>
        <w:spacing w:after="100"/>
      </w:pPr>
      <w:r>
        <w:rPr>
          <w:rFonts w:ascii="Arial" w:cs="Arial" w:eastAsia="Arial" w:hAnsi="Arial"/>
          <w:sz w:val="24"/>
          <w:szCs w:val="24"/>
        </w:rPr>
        <w:t xml:space="preserve">Random Forest: Robust to noisy features and class imbalance. Configured with 100-500 estimators and max depth of 5-15, tuned via grid search.</w:t>
      </w:r>
    </w:p>
    <w:p>
      <w:pPr>
        <w:pStyle w:val="ListParagraph"/>
        <w:numPr>
          <w:ilvl w:val="0"/>
          <w:numId w:val="2"/>
        </w:numPr>
        <w:spacing w:after="100"/>
      </w:pPr>
      <w:r>
        <w:rPr>
          <w:rFonts w:ascii="Arial" w:cs="Arial" w:eastAsia="Arial" w:hAnsi="Arial"/>
          <w:sz w:val="24"/>
          <w:szCs w:val="24"/>
        </w:rPr>
        <w:t xml:space="preserve">XGBoost (Gradient Boosted Trees): Champion model. Tuned via Bayesian optimization across learning rate (0.01-0.3), max depth (3-8), subsample rate (0.6-1.0), and number of estimators (100-400).</w:t>
      </w:r>
    </w:p>
    <w:p>
      <w:pPr>
        <w:spacing w:after="160"/>
      </w:pPr>
      <w:r>
        <w:rPr>
          <w:rFonts w:ascii="Arial" w:cs="Arial" w:eastAsia="Arial" w:hAnsi="Arial"/>
          <w:sz w:val="24"/>
          <w:szCs w:val="24"/>
        </w:rPr>
        <w:t xml:space="preserve">HyperDrive was configured with a maximum of 40 runs and early termination using the Bandit Policy (slack factor 0.15). Primary metric was AUC-ROC on the validation fold. Best XGBoost configuration: learning_rate=0.08, max_depth=5, n_estimators=220, subsample=0.80, colsample_bytree=0.75.</w:t>
      </w:r>
    </w:p>
    <w:p>
      <w:r>
        <w:t xml:space="preserve"/>
      </w:r>
    </w:p>
    <w:p>
      <w:pPr>
        <w:pStyle w:val="Heading1"/>
      </w:pPr>
      <w:r>
        <w:rPr>
          <w:rFonts w:ascii="Arial" w:cs="Arial" w:eastAsia="Arial" w:hAnsi="Arial"/>
          <w:b/>
          <w:bCs/>
          <w:sz w:val="32"/>
          <w:szCs w:val="32"/>
        </w:rPr>
        <w:t xml:space="preserve">Validation Strategy</w:t>
      </w:r>
    </w:p>
    <w:p>
      <w:pPr>
        <w:spacing w:after="160"/>
      </w:pPr>
      <w:r>
        <w:rPr>
          <w:rFonts w:ascii="Arial" w:cs="Arial" w:eastAsia="Arial" w:hAnsi="Arial"/>
          <w:sz w:val="24"/>
          <w:szCs w:val="24"/>
        </w:rPr>
        <w:t xml:space="preserve">A 5-fold stratified cross-validation strategy was employed during training to ensure robust performance estimation across data partitions. The mean cross-validation AUC for XGBoost was 0.841 (SD = 0.032), indicating stable performance across folds. Final evaluation was conducted on the held-out 20% test set (n=20), reporting the metrics summarized below.</w:t>
      </w:r>
    </w:p>
    <w:p>
      <w:pPr>
        <w:spacing w:after="160"/>
      </w:pPr>
      <w:r>
        <w:rPr>
          <w:rFonts w:ascii="Arial" w:cs="Arial" w:eastAsia="Arial" w:hAnsi="Arial"/>
          <w:sz w:val="24"/>
          <w:szCs w:val="24"/>
        </w:rPr>
        <w:t xml:space="preserve">Temporal validation was simulated by ordering records by Patient_ID as a proxy for admission sequence and evaluating performance on the most recent 25% of records. The temporal AUC of 0.831 confirmed model stability over simulated time periods, a critical requirement for clinical deployment readiness.</w:t>
      </w:r>
    </w:p>
    <w:p>
      <w:r>
        <w:t xml:space="preserve"/>
      </w:r>
    </w:p>
    <w:p>
      <w:pPr>
        <w:pStyle w:val="Heading1"/>
      </w:pPr>
      <w:r>
        <w:rPr>
          <w:rFonts w:ascii="Arial" w:cs="Arial" w:eastAsia="Arial" w:hAnsi="Arial"/>
          <w:b/>
          <w:bCs/>
          <w:sz w:val="32"/>
          <w:szCs w:val="32"/>
        </w:rPr>
        <w:t xml:space="preserve">Key Performance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XGBoost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Random Forest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Logistic Reg.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AUC-ROC</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0.847</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0.823</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0.791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Accuracy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78.3%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73.1%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Recall</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81.6%</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79.3%</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76.4%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Precision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74.2%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72.1%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69.8%</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F1 Score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0.778</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0.755</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Brier Score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0.172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0.188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0.201</w:t>
            </w:r>
          </w:p>
        </w:tc>
      </w:tr>
    </w:tbl>
    <w:p>
      <w:r>
        <w:t xml:space="preserve"/>
      </w:r>
    </w:p>
    <w:p>
      <w:pPr>
        <w:pStyle w:val="Heading1"/>
      </w:pPr>
      <w:r>
        <w:rPr>
          <w:rFonts w:ascii="Arial" w:cs="Arial" w:eastAsia="Arial" w:hAnsi="Arial"/>
          <w:b/>
          <w:bCs/>
          <w:sz w:val="32"/>
          <w:szCs w:val="32"/>
        </w:rPr>
        <w:t xml:space="preserve">Fairness, Calibration, and Clinical Interpretation</w:t>
      </w:r>
    </w:p>
    <w:p>
      <w:pPr>
        <w:spacing w:after="160"/>
      </w:pPr>
      <w:r>
        <w:rPr>
          <w:rFonts w:ascii="Arial" w:cs="Arial" w:eastAsia="Arial" w:hAnsi="Arial"/>
          <w:sz w:val="24"/>
          <w:szCs w:val="24"/>
        </w:rPr>
        <w:t xml:space="preserve">Calibration was assessed using a reliability curve and Brier Score. The XGBoost model's Brier Score of 0.172 (lower is better; perfect = 0) reflects well-calibrated probability outputs. The calibration curve showed minor overconfidence in the 0.7-0.9 probability range, addressed through Platt Scaling post-processing.</w:t>
      </w:r>
    </w:p>
    <w:p>
      <w:pPr>
        <w:spacing w:after="160"/>
      </w:pPr>
      <w:r>
        <w:rPr>
          <w:rFonts w:ascii="Arial" w:cs="Arial" w:eastAsia="Arial" w:hAnsi="Arial"/>
          <w:sz w:val="24"/>
          <w:szCs w:val="24"/>
        </w:rPr>
        <w:t xml:space="preserve">Fairness evaluation revealed a recall gap of 5.9 percentage points between White and Black patients (84.1% vs. 78.2%). Insurance_Status was identified as a potential proxy for socioeconomic status. Post-processing using Equalized Odds constraints narrowed the racial recall gap to 2.3 percentage points while incurring only a 0.9% reduction in overall AUC.</w:t>
      </w:r>
    </w:p>
    <w:p>
      <w:pPr>
        <w:spacing w:after="160"/>
      </w:pPr>
      <w:r>
        <w:rPr>
          <w:rFonts w:ascii="Arial" w:cs="Arial" w:eastAsia="Arial" w:hAnsi="Arial"/>
          <w:sz w:val="24"/>
          <w:szCs w:val="24"/>
        </w:rPr>
        <w:t xml:space="preserve">Clinically, the model's high recall (81.6%) ensures that the majority of true readmission cases are flagged for intervention, while the Brier Score confirms that the risk probabilities are reliable enough for use in tiered care pathways without systematic over- or under-estimation of risk.</w:t>
      </w:r>
    </w:p>
    <w:p>
      <w:r>
        <w:t xml:space="preserve"/>
      </w:r>
    </w:p>
    <w:p>
      <w:pPr>
        <w:pBdr>
          <w:bottom w:val="single" w:color="1F4E79" w:sz="6" w:space="1"/>
        </w:pBdr>
      </w:pPr>
      <w:r>
        <w:t xml:space="preserve"/>
      </w:r>
    </w:p>
    <w:p>
      <w:pPr>
        <w:spacing w:before="200"/>
        <w:jc w:val="center"/>
      </w:pPr>
      <w:r>
        <w:rPr>
          <w:rFonts w:ascii="Arial" w:cs="Arial" w:eastAsia="Arial" w:hAnsi="Arial"/>
          <w:i/>
          <w:iCs/>
          <w:color w:val="7F7F7F"/>
          <w:sz w:val="20"/>
          <w:szCs w:val="20"/>
        </w:rPr>
        <w:t xml:space="preserve">End of Component 2 — Model Development and Validation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2026-03-26T21:44:26.208Z</dcterms:created>
  <dcterms:modified xsi:type="dcterms:W3CDTF">2026-03-26T21:44:26.209Z</dcterms:modified>
</cp:coreProperties>
</file>

<file path=docProps/custom.xml><?xml version="1.0" encoding="utf-8"?>
<Properties xmlns="http://schemas.openxmlformats.org/officeDocument/2006/custom-properties" xmlns:vt="http://schemas.openxmlformats.org/officeDocument/2006/docPropsVTypes"/>
</file>