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5C2E"/>
          <w:sz w:val="44"/>
          <w:szCs w:val="44"/>
        </w:rPr>
        <w:t xml:space="preserve">Clinical Decision Support Dashboard Overview</w:t>
      </w:r>
    </w:p>
    <w:p>
      <w:pPr>
        <w:spacing w:after="80"/>
        <w:jc w:val="center"/>
      </w:pPr>
      <w:r>
        <w:rPr>
          <w:rFonts w:ascii="Arial" w:cs="Arial" w:eastAsia="Arial" w:hAnsi="Arial"/>
          <w:i/>
          <w:iCs/>
          <w:color w:val="2E7D32"/>
          <w:sz w:val="26"/>
          <w:szCs w:val="26"/>
        </w:rPr>
        <w:t xml:space="preserve">Power BI Dashboard — 30-Day Readmission Risk System</w:t>
      </w:r>
    </w:p>
    <w:p>
      <w:pPr>
        <w:spacing w:after="400"/>
        <w:jc w:val="center"/>
      </w:pPr>
      <w:r>
        <w:rPr>
          <w:rFonts w:ascii="Arial" w:cs="Arial" w:eastAsia="Arial" w:hAnsi="Arial"/>
          <w:color w:val="7F7F7F"/>
          <w:sz w:val="22"/>
          <w:szCs w:val="22"/>
        </w:rPr>
        <w:t xml:space="preserve">Component 3 of 4 | Healthcare AI Portfolio</w:t>
      </w:r>
    </w:p>
    <w:p>
      <w:pPr>
        <w:pStyle w:val="Heading1"/>
      </w:pPr>
      <w:r>
        <w:rPr>
          <w:rFonts w:ascii="Arial" w:cs="Arial" w:eastAsia="Arial" w:hAnsi="Arial"/>
          <w:b/>
          <w:bCs/>
          <w:sz w:val="32"/>
          <w:szCs w:val="32"/>
        </w:rPr>
        <w:t xml:space="preserve">Dashboard Purpose and Design Philosophy</w:t>
      </w:r>
    </w:p>
    <w:p>
      <w:pPr>
        <w:spacing w:after="160"/>
      </w:pPr>
      <w:r>
        <w:rPr>
          <w:rFonts w:ascii="Arial" w:cs="Arial" w:eastAsia="Arial" w:hAnsi="Arial"/>
          <w:sz w:val="24"/>
          <w:szCs w:val="24"/>
        </w:rPr>
        <w:t xml:space="preserve">The Power BI Clinical Decision Support Dashboard translates machine learning model outputs into actionable, clinician-ready insights. The dashboard was designed with three guiding principles: clinical clarity (outputs expressed in terms clinicians can act on), contextual transparency (each prediction accompanied by explanatory information), and operational efficiency (critical alerts visible within seconds of opening the dashboard). The interface follows a progressive disclosure model — high-level population views at the top, with drill-down capability to individual patient-level detail.</w:t>
      </w:r>
    </w:p>
    <w:p>
      <w:r>
        <w:t xml:space="preserve"/>
      </w:r>
    </w:p>
    <w:p>
      <w:pPr>
        <w:pStyle w:val="Heading1"/>
      </w:pPr>
      <w:r>
        <w:rPr>
          <w:rFonts w:ascii="Arial" w:cs="Arial" w:eastAsia="Arial" w:hAnsi="Arial"/>
          <w:b/>
          <w:bCs/>
          <w:sz w:val="32"/>
          <w:szCs w:val="32"/>
        </w:rPr>
        <w:t xml:space="preserve">Dashboard Components</w:t>
      </w:r>
    </w:p>
    <w:p>
      <w:pPr>
        <w:spacing w:after="100"/>
      </w:pPr>
      <w:r>
        <w:rPr>
          <w:rFonts w:ascii="Arial" w:cs="Arial" w:eastAsia="Arial" w:hAnsi="Arial"/>
          <w:b/>
          <w:bCs/>
          <w:color w:val="1F5C2E"/>
          <w:sz w:val="24"/>
          <w:szCs w:val="24"/>
        </w:rPr>
        <w:t xml:space="preserve">1. Patient Risk Stratification Panel</w:t>
      </w:r>
    </w:p>
    <w:p>
      <w:pPr>
        <w:spacing w:after="160"/>
      </w:pPr>
      <w:r>
        <w:rPr>
          <w:rFonts w:ascii="Arial" w:cs="Arial" w:eastAsia="Arial" w:hAnsi="Arial"/>
          <w:sz w:val="24"/>
          <w:szCs w:val="24"/>
        </w:rPr>
        <w:t xml:space="preserve">The primary view displays all current patients ranked by readmission risk score (0-1). Patients are color-coded into three tiers: High Risk (score &gt;= 0.65, red), Moderate Risk (0.40-0.64, amber), and Low Risk (&lt; 0.40, green). A filterable data table allows sorting by ward, discharge date, attending physician, or risk tier. This panel integrates directly with the Azure ML scoring endpoint to reflect scores updated at each discharge planning event.</w:t>
      </w:r>
    </w:p>
    <w:p>
      <w:r>
        <w:t xml:space="preserve"/>
      </w:r>
    </w:p>
    <w:p>
      <w:pPr>
        <w:spacing w:after="100"/>
      </w:pPr>
      <w:r>
        <w:rPr>
          <w:rFonts w:ascii="Arial" w:cs="Arial" w:eastAsia="Arial" w:hAnsi="Arial"/>
          <w:b/>
          <w:bCs/>
          <w:color w:val="1F5C2E"/>
          <w:sz w:val="24"/>
          <w:szCs w:val="24"/>
        </w:rPr>
        <w:t xml:space="preserve">2. Individual Patient Explanation Panel (SHAP Values)</w:t>
      </w:r>
    </w:p>
    <w:p>
      <w:pPr>
        <w:spacing w:after="160"/>
      </w:pPr>
      <w:r>
        <w:rPr>
          <w:rFonts w:ascii="Arial" w:cs="Arial" w:eastAsia="Arial" w:hAnsi="Arial"/>
          <w:sz w:val="24"/>
          <w:szCs w:val="24"/>
        </w:rPr>
        <w:t xml:space="preserve">Selecting any patient opens a patient card displaying their risk score alongside a horizontal SHAP waterfall chart. Each bar represents a feature's contribution — positive (red, increasing risk) or negative (blue, reducing risk). For example, a patient with 4 prior admissions, 3 comorbidities, and Emergency admission type might show these as the top three risk-elevating features, with Private insurance and short length of stay as protective factors. This feature-level transparency supports clinical trust and guides targeted intervention.</w:t>
      </w:r>
    </w:p>
    <w:p>
      <w:r>
        <w:t xml:space="preserve"/>
      </w:r>
    </w:p>
    <w:p>
      <w:pPr>
        <w:spacing w:after="100"/>
      </w:pPr>
      <w:r>
        <w:rPr>
          <w:rFonts w:ascii="Arial" w:cs="Arial" w:eastAsia="Arial" w:hAnsi="Arial"/>
          <w:b/>
          <w:bCs/>
          <w:color w:val="1F5C2E"/>
          <w:sz w:val="24"/>
          <w:szCs w:val="24"/>
        </w:rPr>
        <w:t xml:space="preserve">3. Population Health and Trend Analytics</w:t>
      </w:r>
    </w:p>
    <w:p>
      <w:pPr>
        <w:spacing w:after="160"/>
      </w:pPr>
      <w:r>
        <w:rPr>
          <w:rFonts w:ascii="Arial" w:cs="Arial" w:eastAsia="Arial" w:hAnsi="Arial"/>
          <w:sz w:val="24"/>
          <w:szCs w:val="24"/>
        </w:rPr>
        <w:t xml:space="preserve">A dedicated analytics page displays readmission rate trends over rolling 30-day windows, stratified by admission type, insurance status, and discharge disposition. A risk distribution histogram shows the proportion of patients in each risk tier over time, enabling care managers to assess whether population risk is shifting. Filters allow comparison across wards, time periods, and demographic groups.</w:t>
      </w:r>
    </w:p>
    <w:p>
      <w:r>
        <w:t xml:space="preserve"/>
      </w:r>
    </w:p>
    <w:p>
      <w:pPr>
        <w:spacing w:after="100"/>
      </w:pPr>
      <w:r>
        <w:rPr>
          <w:rFonts w:ascii="Arial" w:cs="Arial" w:eastAsia="Arial" w:hAnsi="Arial"/>
          <w:b/>
          <w:bCs/>
          <w:color w:val="1F5C2E"/>
          <w:sz w:val="24"/>
          <w:szCs w:val="24"/>
        </w:rPr>
        <w:t xml:space="preserve">4. Model Performance and Fairness Visualization</w:t>
      </w:r>
    </w:p>
    <w:p>
      <w:pPr>
        <w:spacing w:after="160"/>
      </w:pPr>
      <w:r>
        <w:rPr>
          <w:rFonts w:ascii="Arial" w:cs="Arial" w:eastAsia="Arial" w:hAnsi="Arial"/>
          <w:sz w:val="24"/>
          <w:szCs w:val="24"/>
        </w:rPr>
        <w:t xml:space="preserve">A performance monitoring page displays AUC, recall, precision, and calibration curve for the current model version alongside benchmarks from prior versions. A fairness panel visualizes recall and precision disaggregated by Race, Gender, and Insurance_Status using grouped bar charts, allowing administrators to detect emerging performance disparities before they affect clinical outcomes.</w:t>
      </w:r>
    </w:p>
    <w:p>
      <w:r>
        <w:t xml:space="preserve"/>
      </w:r>
    </w:p>
    <w:p>
      <w:pPr>
        <w:spacing w:after="100"/>
      </w:pPr>
      <w:r>
        <w:rPr>
          <w:rFonts w:ascii="Arial" w:cs="Arial" w:eastAsia="Arial" w:hAnsi="Arial"/>
          <w:b/>
          <w:bCs/>
          <w:color w:val="1F5C2E"/>
          <w:sz w:val="24"/>
          <w:szCs w:val="24"/>
        </w:rPr>
        <w:t xml:space="preserve">5. Real-Time Alerts and Mobile Usability</w:t>
      </w:r>
    </w:p>
    <w:p>
      <w:pPr>
        <w:spacing w:after="160"/>
      </w:pPr>
      <w:r>
        <w:rPr>
          <w:rFonts w:ascii="Arial" w:cs="Arial" w:eastAsia="Arial" w:hAnsi="Arial"/>
          <w:sz w:val="24"/>
          <w:szCs w:val="24"/>
        </w:rPr>
        <w:t xml:space="preserve">High-risk patients trigger push notifications to care coordinators via the Power BI mobile app, including the patient's risk score, top three risk drivers, and a direct link to the patient record. The dashboard is fully responsive and optimized for tablet use at the bedside, with large touch targets and simplified layouts activated on smaller screens. Alert thresholds are configurable by ward administrators to match local resource capacity and clinical protocols.</w:t>
      </w:r>
    </w:p>
    <w:p>
      <w:r>
        <w:t xml:space="preserve"/>
      </w:r>
    </w:p>
    <w:p>
      <w:pPr>
        <w:pStyle w:val="Heading1"/>
      </w:pPr>
      <w:r>
        <w:rPr>
          <w:rFonts w:ascii="Arial" w:cs="Arial" w:eastAsia="Arial" w:hAnsi="Arial"/>
          <w:b/>
          <w:bCs/>
          <w:sz w:val="32"/>
          <w:szCs w:val="32"/>
        </w:rPr>
        <w:t xml:space="preserve">Interactivity and Clinical Adaptability</w:t>
      </w:r>
    </w:p>
    <w:p>
      <w:pPr>
        <w:spacing w:after="160"/>
      </w:pPr>
      <w:r>
        <w:rPr>
          <w:rFonts w:ascii="Arial" w:cs="Arial" w:eastAsia="Arial" w:hAnsi="Arial"/>
          <w:sz w:val="24"/>
          <w:szCs w:val="24"/>
        </w:rPr>
        <w:t xml:space="preserve">All dashboard pages support cross-filtering: selecting a demographic group in the fairness panel automatically filters the risk stratification table and trend charts to reflect that subpopulation. Slicers allow clinicians to filter by admission type, discharge destination, date range, and attending team. Role-based access controls ensure ward nurses see their patients only, while clinical managers and administrators have institution-wide views. The dashboard connects to the Azure ML scoring endpoint via a Power BI dataflow refresh schedule set to every 4 hours, with manual refresh available for urgent cases.</w:t>
      </w:r>
    </w:p>
    <w:p>
      <w:r>
        <w:t xml:space="preserve"/>
      </w:r>
    </w:p>
    <w:p>
      <w:pPr>
        <w:pBdr>
          <w:bottom w:val="single" w:color="1F5C2E" w:sz="6" w:space="1"/>
        </w:pBdr>
      </w:pPr>
      <w:r>
        <w:t xml:space="preserve"/>
      </w:r>
    </w:p>
    <w:p>
      <w:pPr>
        <w:spacing w:before="200"/>
        <w:jc w:val="center"/>
      </w:pPr>
      <w:r>
        <w:rPr>
          <w:rFonts w:ascii="Arial" w:cs="Arial" w:eastAsia="Arial" w:hAnsi="Arial"/>
          <w:i/>
          <w:iCs/>
          <w:color w:val="7F7F7F"/>
          <w:sz w:val="20"/>
          <w:szCs w:val="20"/>
        </w:rPr>
        <w:t xml:space="preserve">End of Component 3 — Clinical Decision Support Dashboard Overview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5C2E"/>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2026-03-26T21:45:06.088Z</dcterms:created>
  <dcterms:modified xsi:type="dcterms:W3CDTF">2026-03-26T21:45:06.089Z</dcterms:modified>
</cp:coreProperties>
</file>

<file path=docProps/custom.xml><?xml version="1.0" encoding="utf-8"?>
<Properties xmlns="http://schemas.openxmlformats.org/officeDocument/2006/custom-properties" xmlns:vt="http://schemas.openxmlformats.org/officeDocument/2006/docPropsVTypes"/>
</file>