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7B2D00"/>
          <w:sz w:val="44"/>
          <w:szCs w:val="44"/>
        </w:rPr>
        <w:t xml:space="preserve">Responsible AI and Deployment Documentation</w:t>
      </w:r>
    </w:p>
    <w:p>
      <w:pPr>
        <w:spacing w:after="80"/>
        <w:jc w:val="center"/>
      </w:pPr>
      <w:r>
        <w:rPr>
          <w:rFonts w:ascii="Arial" w:cs="Arial" w:eastAsia="Arial" w:hAnsi="Arial"/>
          <w:i/>
          <w:iCs/>
          <w:color w:val="BF4500"/>
          <w:sz w:val="24"/>
          <w:szCs w:val="24"/>
        </w:rPr>
        <w:t xml:space="preserve">Ethics, Governance, and Secure Deployment — Readmission Risk System</w:t>
      </w:r>
    </w:p>
    <w:p>
      <w:pPr>
        <w:spacing w:after="400"/>
        <w:jc w:val="center"/>
      </w:pPr>
      <w:r>
        <w:rPr>
          <w:rFonts w:ascii="Arial" w:cs="Arial" w:eastAsia="Arial" w:hAnsi="Arial"/>
          <w:color w:val="7F7F7F"/>
          <w:sz w:val="22"/>
          <w:szCs w:val="22"/>
        </w:rPr>
        <w:t xml:space="preserve">Component 4 of 4 | Healthcare AI Portfolio</w:t>
      </w:r>
    </w:p>
    <w:p>
      <w:pPr>
        <w:pStyle w:val="Heading1"/>
      </w:pPr>
      <w:r>
        <w:rPr>
          <w:rFonts w:ascii="Arial" w:cs="Arial" w:eastAsia="Arial" w:hAnsi="Arial"/>
          <w:b/>
          <w:bCs/>
          <w:sz w:val="32"/>
          <w:szCs w:val="32"/>
        </w:rPr>
        <w:t xml:space="preserve">Bias Detection and Mitigation Strategies</w:t>
      </w:r>
    </w:p>
    <w:p>
      <w:pPr>
        <w:spacing w:after="160"/>
      </w:pPr>
      <w:r>
        <w:rPr>
          <w:rFonts w:ascii="Arial" w:cs="Arial" w:eastAsia="Arial" w:hAnsi="Arial"/>
          <w:sz w:val="24"/>
          <w:szCs w:val="24"/>
        </w:rPr>
        <w:t xml:space="preserve">Bias assessment was conducted using Azure's Responsible AI Dashboard across three sensitive attributes: Race, Gender, and Insurance_Status. Demographic parity difference, equalized odds difference, and recall disparity were evaluated as fairness metrics. The initial model exhibited a statistically significant recall gap of 5.9 percentage points between Black and White patients, and a precision gap of 9.5 percentage points between self-pay and privately insured patients.</w:t>
      </w:r>
    </w:p>
    <w:p>
      <w:pPr>
        <w:spacing w:after="160"/>
      </w:pPr>
      <w:r>
        <w:rPr>
          <w:rFonts w:ascii="Arial" w:cs="Arial" w:eastAsia="Arial" w:hAnsi="Arial"/>
          <w:sz w:val="24"/>
          <w:szCs w:val="24"/>
        </w:rPr>
        <w:t xml:space="preserve">Mitigation strategies applied included:</w:t>
      </w:r>
    </w:p>
    <w:p>
      <w:pPr>
        <w:pStyle w:val="ListParagraph"/>
        <w:numPr>
          <w:ilvl w:val="0"/>
          <w:numId w:val="2"/>
        </w:numPr>
        <w:spacing w:after="100"/>
      </w:pPr>
      <w:r>
        <w:rPr>
          <w:rFonts w:ascii="Arial" w:cs="Arial" w:eastAsia="Arial" w:hAnsi="Arial"/>
          <w:sz w:val="24"/>
          <w:szCs w:val="24"/>
        </w:rPr>
        <w:t xml:space="preserve">Sample reweighting: Training instances from underrepresented demographic groups (Black, Hispanic, Self-pay) were assigned higher weights to reduce representation bias.</w:t>
      </w:r>
    </w:p>
    <w:p>
      <w:pPr>
        <w:pStyle w:val="ListParagraph"/>
        <w:numPr>
          <w:ilvl w:val="0"/>
          <w:numId w:val="2"/>
        </w:numPr>
        <w:spacing w:after="100"/>
      </w:pPr>
      <w:r>
        <w:rPr>
          <w:rFonts w:ascii="Arial" w:cs="Arial" w:eastAsia="Arial" w:hAnsi="Arial"/>
          <w:sz w:val="24"/>
          <w:szCs w:val="24"/>
        </w:rPr>
        <w:t xml:space="preserve">Equalized Odds post-processing: Applied to align recall rates across racial subgroups, narrowing the gap to 2.3 percentage points.</w:t>
      </w:r>
    </w:p>
    <w:p>
      <w:pPr>
        <w:pStyle w:val="ListParagraph"/>
        <w:numPr>
          <w:ilvl w:val="0"/>
          <w:numId w:val="2"/>
        </w:numPr>
        <w:spacing w:after="100"/>
      </w:pPr>
      <w:r>
        <w:rPr>
          <w:rFonts w:ascii="Arial" w:cs="Arial" w:eastAsia="Arial" w:hAnsi="Arial"/>
          <w:sz w:val="24"/>
          <w:szCs w:val="24"/>
        </w:rPr>
        <w:t xml:space="preserve">Proxy variable flagging: Insurance_Status was documented as a socioeconomic proxy and flagged in the model card to prevent its use as a sole basis for care pathway decisions.</w:t>
      </w:r>
    </w:p>
    <w:p>
      <w:pPr>
        <w:pStyle w:val="ListParagraph"/>
        <w:numPr>
          <w:ilvl w:val="0"/>
          <w:numId w:val="2"/>
        </w:numPr>
        <w:spacing w:after="100"/>
      </w:pPr>
      <w:r>
        <w:rPr>
          <w:rFonts w:ascii="Arial" w:cs="Arial" w:eastAsia="Arial" w:hAnsi="Arial"/>
          <w:sz w:val="24"/>
          <w:szCs w:val="24"/>
        </w:rPr>
        <w:t xml:space="preserve">Ongoing monitoring: Fairness metrics are recalculated monthly and reviewed by the Clinical AI Ethics Committee before each retraining cycle.</w:t>
      </w:r>
    </w:p>
    <w:p>
      <w:r>
        <w:t xml:space="preserve"/>
      </w:r>
    </w:p>
    <w:p>
      <w:pPr>
        <w:pStyle w:val="Heading1"/>
      </w:pPr>
      <w:r>
        <w:rPr>
          <w:rFonts w:ascii="Arial" w:cs="Arial" w:eastAsia="Arial" w:hAnsi="Arial"/>
          <w:b/>
          <w:bCs/>
          <w:sz w:val="32"/>
          <w:szCs w:val="32"/>
        </w:rPr>
        <w:t xml:space="preserve">Governance Protocols and Ethical Safeguards</w:t>
      </w:r>
    </w:p>
    <w:p>
      <w:pPr>
        <w:spacing w:after="160"/>
      </w:pPr>
      <w:r>
        <w:rPr>
          <w:rFonts w:ascii="Arial" w:cs="Arial" w:eastAsia="Arial" w:hAnsi="Arial"/>
          <w:sz w:val="24"/>
          <w:szCs w:val="24"/>
        </w:rPr>
        <w:t xml:space="preserve">The model is governed under a three-tier oversight structure: (1) a Data Science team responsible for model development, versioning, and technical validation; (2) a Clinical AI Ethics Committee responsible for fairness review, clinical validation, and deployment approval; and (3) a Hospital Executive Sponsor responsible for institutional accountability and policy alignment.</w:t>
      </w:r>
    </w:p>
    <w:p>
      <w:pPr>
        <w:spacing w:after="160"/>
      </w:pPr>
      <w:r>
        <w:rPr>
          <w:rFonts w:ascii="Arial" w:cs="Arial" w:eastAsia="Arial" w:hAnsi="Arial"/>
          <w:sz w:val="24"/>
          <w:szCs w:val="24"/>
        </w:rPr>
        <w:t xml:space="preserve">Ethical safeguards include:</w:t>
      </w:r>
    </w:p>
    <w:p>
      <w:pPr>
        <w:pStyle w:val="ListParagraph"/>
        <w:numPr>
          <w:ilvl w:val="0"/>
          <w:numId w:val="2"/>
        </w:numPr>
        <w:spacing w:after="100"/>
      </w:pPr>
      <w:r>
        <w:rPr>
          <w:rFonts w:ascii="Arial" w:cs="Arial" w:eastAsia="Arial" w:hAnsi="Arial"/>
          <w:sz w:val="24"/>
          <w:szCs w:val="24"/>
        </w:rPr>
        <w:t xml:space="preserve">Model Card: A standardized model card documenting intended use, performance metrics, known limitations, demographic fairness results, and prohibited use cases is maintained and updated with each model version.</w:t>
      </w:r>
    </w:p>
    <w:p>
      <w:pPr>
        <w:pStyle w:val="ListParagraph"/>
        <w:numPr>
          <w:ilvl w:val="0"/>
          <w:numId w:val="2"/>
        </w:numPr>
        <w:spacing w:after="100"/>
      </w:pPr>
      <w:r>
        <w:rPr>
          <w:rFonts w:ascii="Arial" w:cs="Arial" w:eastAsia="Arial" w:hAnsi="Arial"/>
          <w:sz w:val="24"/>
          <w:szCs w:val="24"/>
        </w:rPr>
        <w:t xml:space="preserve">Human Oversight Requirement: The system is classified as decision support only. No automated actions may be taken based solely on the model's output. All high-risk flags require review by a qualified clinician before intervention.</w:t>
      </w:r>
    </w:p>
    <w:p>
      <w:pPr>
        <w:pStyle w:val="ListParagraph"/>
        <w:numPr>
          <w:ilvl w:val="0"/>
          <w:numId w:val="2"/>
        </w:numPr>
        <w:spacing w:after="100"/>
      </w:pPr>
      <w:r>
        <w:rPr>
          <w:rFonts w:ascii="Arial" w:cs="Arial" w:eastAsia="Arial" w:hAnsi="Arial"/>
          <w:sz w:val="24"/>
          <w:szCs w:val="24"/>
        </w:rPr>
        <w:t xml:space="preserve">Transparency Protocol: Patients are informed via updated admission consent forms that AI-assisted risk assessment may be used in their discharge planning. Opt-out provisions are documented.</w:t>
      </w:r>
    </w:p>
    <w:p>
      <w:pPr>
        <w:pStyle w:val="ListParagraph"/>
        <w:numPr>
          <w:ilvl w:val="0"/>
          <w:numId w:val="2"/>
        </w:numPr>
        <w:spacing w:after="100"/>
      </w:pPr>
      <w:r>
        <w:rPr>
          <w:rFonts w:ascii="Arial" w:cs="Arial" w:eastAsia="Arial" w:hAnsi="Arial"/>
          <w:sz w:val="24"/>
          <w:szCs w:val="24"/>
        </w:rPr>
        <w:t xml:space="preserve">Incident Response Plan: A formal incident reporting pathway exists for cases where model outputs are believed to have contributed to adverse outcomes or discriminatory care decisions.</w:t>
      </w:r>
    </w:p>
    <w:p>
      <w:r>
        <w:t xml:space="preserve"/>
      </w:r>
    </w:p>
    <w:p>
      <w:pPr>
        <w:pStyle w:val="Heading1"/>
      </w:pPr>
      <w:r>
        <w:rPr>
          <w:rFonts w:ascii="Arial" w:cs="Arial" w:eastAsia="Arial" w:hAnsi="Arial"/>
          <w:b/>
          <w:bCs/>
          <w:sz w:val="32"/>
          <w:szCs w:val="32"/>
        </w:rPr>
        <w:t xml:space="preserve">HIPAA Compliance and Data Privacy</w:t>
      </w:r>
    </w:p>
    <w:p>
      <w:pPr>
        <w:spacing w:after="160"/>
      </w:pPr>
      <w:r>
        <w:rPr>
          <w:rFonts w:ascii="Arial" w:cs="Arial" w:eastAsia="Arial" w:hAnsi="Arial"/>
          <w:sz w:val="24"/>
          <w:szCs w:val="24"/>
        </w:rPr>
        <w:t xml:space="preserve">All patient data used for training and inference is fully de-identified in accordance with HIPAA Safe Harbor standards. Patient_ID fields are synthetic identifiers with no linkage to real individuals. Data access is governed by a data use agreement (DUA) and restricted to authorized research and clinical staff. No Protected Health Information (PHI) is transmitted to or stored within Azure ML workspace artifacts. Data in transit is encrypted using TLS 1.3, and data at rest is encrypted with AES-256 within Azure storage accounts.</w:t>
      </w:r>
    </w:p>
    <w:p>
      <w:r>
        <w:t xml:space="preserve"/>
      </w:r>
    </w:p>
    <w:p>
      <w:pPr>
        <w:pStyle w:val="Heading1"/>
      </w:pPr>
      <w:r>
        <w:rPr>
          <w:rFonts w:ascii="Arial" w:cs="Arial" w:eastAsia="Arial" w:hAnsi="Arial"/>
          <w:b/>
          <w:bCs/>
          <w:sz w:val="32"/>
          <w:szCs w:val="32"/>
        </w:rPr>
        <w:t xml:space="preserve">Model Deployment as a Secure Azure Web Service</w:t>
      </w:r>
    </w:p>
    <w:p>
      <w:pPr>
        <w:spacing w:after="160"/>
      </w:pPr>
      <w:r>
        <w:rPr>
          <w:rFonts w:ascii="Arial" w:cs="Arial" w:eastAsia="Arial" w:hAnsi="Arial"/>
          <w:sz w:val="24"/>
          <w:szCs w:val="24"/>
        </w:rPr>
        <w:t xml:space="preserve">The champion XGBoost model was serialized and registered in the Azure ML Model Registry with versioning and lineage tracking. It was deployed as a real-time inference endpoint using Azure Container Instances (ACI) for development and Azure Kubernetes Service (AKS) for production, enabling auto-scaling under peak clinical load.</w:t>
      </w:r>
    </w:p>
    <w:p>
      <w:pPr>
        <w:spacing w:after="160"/>
      </w:pPr>
      <w:r>
        <w:rPr>
          <w:rFonts w:ascii="Arial" w:cs="Arial" w:eastAsia="Arial" w:hAnsi="Arial"/>
          <w:sz w:val="24"/>
          <w:szCs w:val="24"/>
        </w:rPr>
        <w:t xml:space="preserve">API documentation was published using OpenAPI (Swagger) and includes:</w:t>
      </w:r>
    </w:p>
    <w:p>
      <w:pPr>
        <w:pStyle w:val="ListParagraph"/>
        <w:numPr>
          <w:ilvl w:val="0"/>
          <w:numId w:val="2"/>
        </w:numPr>
        <w:spacing w:after="100"/>
      </w:pPr>
      <w:r>
        <w:rPr>
          <w:rFonts w:ascii="Arial" w:cs="Arial" w:eastAsia="Arial" w:hAnsi="Arial"/>
          <w:sz w:val="24"/>
          <w:szCs w:val="24"/>
        </w:rPr>
        <w:t xml:space="preserve">POST /score endpoint accepting a JSON payload of patient features and returning risk score (float), risk tier (string), and top-3 SHAP feature contributions.</w:t>
      </w:r>
    </w:p>
    <w:p>
      <w:pPr>
        <w:pStyle w:val="ListParagraph"/>
        <w:numPr>
          <w:ilvl w:val="0"/>
          <w:numId w:val="2"/>
        </w:numPr>
        <w:spacing w:after="100"/>
      </w:pPr>
      <w:r>
        <w:rPr>
          <w:rFonts w:ascii="Arial" w:cs="Arial" w:eastAsia="Arial" w:hAnsi="Arial"/>
          <w:sz w:val="24"/>
          <w:szCs w:val="24"/>
        </w:rPr>
        <w:t xml:space="preserve">Authentication via Azure Active Directory OAuth 2.0 tokens; API keys as a secondary option for legacy EHR integrations.</w:t>
      </w:r>
    </w:p>
    <w:p>
      <w:pPr>
        <w:pStyle w:val="ListParagraph"/>
        <w:numPr>
          <w:ilvl w:val="0"/>
          <w:numId w:val="2"/>
        </w:numPr>
        <w:spacing w:after="100"/>
      </w:pPr>
      <w:r>
        <w:rPr>
          <w:rFonts w:ascii="Arial" w:cs="Arial" w:eastAsia="Arial" w:hAnsi="Arial"/>
          <w:sz w:val="24"/>
          <w:szCs w:val="24"/>
        </w:rPr>
        <w:t xml:space="preserve">Rate limiting set at 500 requests per minute per client to protect service availability.</w:t>
      </w:r>
    </w:p>
    <w:p>
      <w:pPr>
        <w:pStyle w:val="ListParagraph"/>
        <w:numPr>
          <w:ilvl w:val="0"/>
          <w:numId w:val="2"/>
        </w:numPr>
        <w:spacing w:after="100"/>
      </w:pPr>
      <w:r>
        <w:rPr>
          <w:rFonts w:ascii="Arial" w:cs="Arial" w:eastAsia="Arial" w:hAnsi="Arial"/>
          <w:sz w:val="24"/>
          <w:szCs w:val="24"/>
        </w:rPr>
        <w:t xml:space="preserve">Response schema versioning to ensure backward compatibility with EHR integration layers during model updates.</w:t>
      </w:r>
    </w:p>
    <w:p>
      <w:r>
        <w:t xml:space="preserve"/>
      </w:r>
    </w:p>
    <w:p>
      <w:pPr>
        <w:pStyle w:val="Heading1"/>
      </w:pPr>
      <w:r>
        <w:rPr>
          <w:rFonts w:ascii="Arial" w:cs="Arial" w:eastAsia="Arial" w:hAnsi="Arial"/>
          <w:b/>
          <w:bCs/>
          <w:sz w:val="32"/>
          <w:szCs w:val="32"/>
        </w:rPr>
        <w:t xml:space="preserve">Retraining and Monitoring Strategy</w:t>
      </w:r>
    </w:p>
    <w:p>
      <w:pPr>
        <w:spacing w:after="160"/>
      </w:pPr>
      <w:r>
        <w:rPr>
          <w:rFonts w:ascii="Arial" w:cs="Arial" w:eastAsia="Arial" w:hAnsi="Arial"/>
          <w:sz w:val="24"/>
          <w:szCs w:val="24"/>
        </w:rPr>
        <w:t xml:space="preserve">Model performance is monitored continuously using Azure ML's Data Drift Detection service. Alerts are triggered when the population-level distribution of any input feature drifts by more than 10% from the training baseline, or when holdout AUC drops below 0.80. Scheduled monthly retraining uses a rolling 12-month patient data window. Each retrained candidate model undergoes full fairness evaluation, calibration assessment, and clinical sign-off before replacing the production endpoint. All model versions are retained in the registry for rollback capability. A full audit log of predictions, access events, and retraining decisions is maintained for regulatory review.</w:t>
      </w:r>
    </w:p>
    <w:p>
      <w:r>
        <w:t xml:space="preserve"/>
      </w:r>
    </w:p>
    <w:p>
      <w:pPr>
        <w:pBdr>
          <w:bottom w:val="single" w:color="7B2D00" w:sz="6" w:space="1"/>
        </w:pBdr>
      </w:pPr>
      <w:r>
        <w:t xml:space="preserve"/>
      </w:r>
    </w:p>
    <w:p>
      <w:pPr>
        <w:spacing w:before="200"/>
        <w:jc w:val="center"/>
      </w:pPr>
      <w:r>
        <w:rPr>
          <w:rFonts w:ascii="Arial" w:cs="Arial" w:eastAsia="Arial" w:hAnsi="Arial"/>
          <w:i/>
          <w:iCs/>
          <w:color w:val="7F7F7F"/>
          <w:sz w:val="20"/>
          <w:szCs w:val="20"/>
        </w:rPr>
        <w:t xml:space="preserve">End of Component 4 — Responsible AI and Deployment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7B2D00"/>
      <w:sz w:val="32"/>
      <w:szCs w:val="32"/>
    </w:rPr>
  </w:style>
  <w:style w:type="paragraph" w:styleId="Heading2">
    <w:name w:val="Heading 2"/>
    <w:basedOn w:val="Normal"/>
    <w:next w:val="Normal"/>
    <w:qFormat/>
    <w:pPr>
      <w:spacing w:after="140" w:before="200"/>
      <w:outlineLvl w:val="1"/>
    </w:pPr>
    <w:rPr>
      <w:rFonts w:ascii="Arial" w:cs="Arial" w:eastAsia="Arial" w:hAnsi="Arial"/>
      <w:b/>
      <w:bCs/>
      <w:color w:val="BF45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2026-03-26T21:45:49.822Z</dcterms:created>
  <dcterms:modified xsi:type="dcterms:W3CDTF">2026-03-26T21:45:49.822Z</dcterms:modified>
</cp:coreProperties>
</file>

<file path=docProps/custom.xml><?xml version="1.0" encoding="utf-8"?>
<Properties xmlns="http://schemas.openxmlformats.org/officeDocument/2006/custom-properties" xmlns:vt="http://schemas.openxmlformats.org/officeDocument/2006/docPropsVTypes"/>
</file>