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1F4E79"/>
          <w:sz w:val="56"/>
          <w:szCs w:val="56"/>
        </w:rPr>
        <w:t xml:space="preserve">EXECUTIVE SUMMARY</w:t>
      </w:r>
    </w:p>
    <w:p>
      <w:pPr>
        <w:spacing w:after="60" w:before="0"/>
        <w:jc w:val="center"/>
      </w:pPr>
      <w:r>
        <w:rPr>
          <w:rFonts w:ascii="Arial" w:cs="Arial" w:eastAsia="Arial" w:hAnsi="Arial"/>
          <w:b/>
          <w:bCs/>
          <w:color w:val="2E75B6"/>
          <w:sz w:val="32"/>
          <w:szCs w:val="32"/>
        </w:rPr>
        <w:t xml:space="preserve">Azure AI Healthcare Transformation Investment Proposal</w:t>
      </w:r>
    </w:p>
    <w:p>
      <w:pPr>
        <w:spacing w:after="60" w:before="0"/>
        <w:jc w:val="center"/>
      </w:pPr>
      <w:r>
        <w:rPr>
          <w:rFonts w:ascii="Arial" w:cs="Arial" w:eastAsia="Arial" w:hAnsi="Arial"/>
          <w:color w:val="555555"/>
          <w:sz w:val="22"/>
          <w:szCs w:val="22"/>
        </w:rPr>
        <w:t xml:space="preserve">Riverside Community Hospital  |  For Board of Directors and C-Suite Leadership</w:t>
      </w:r>
    </w:p>
    <w:p>
      <w:pPr>
        <w:spacing w:after="320" w:before="0"/>
        <w:jc w:val="center"/>
      </w:pPr>
      <w:r>
        <w:rPr>
          <w:rFonts w:ascii="Arial" w:cs="Arial" w:eastAsia="Arial" w:hAnsi="Arial"/>
          <w:i/>
          <w:iCs/>
          <w:color w:val="888888"/>
          <w:sz w:val="20"/>
          <w:szCs w:val="20"/>
        </w:rPr>
        <w:t xml:space="preserve">Presented by Healthcare AI Consulting Group  |  March 2026</w:t>
      </w:r>
    </w:p>
    <w:p>
      <w:pPr>
        <w:pBdr>
          <w:bottom w:val="single" w:color="2E75B6" w:sz="4" w:space="1"/>
        </w:pBdr>
        <w:spacing w:after="14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spacing w:after="40" w:before="0"/>
              <w:jc w:val="center"/>
            </w:pPr>
            <w:r>
              <w:rPr>
                <w:rFonts w:ascii="Arial" w:cs="Arial" w:eastAsia="Arial" w:hAnsi="Arial"/>
                <w:b/>
                <w:bCs/>
                <w:color w:val="1F4E79"/>
                <w:sz w:val="40"/>
                <w:szCs w:val="40"/>
              </w:rPr>
              <w:t xml:space="preserve">$4.2M</w:t>
            </w:r>
          </w:p>
          <w:p>
            <w:pPr>
              <w:spacing w:after="40" w:before="0"/>
              <w:jc w:val="center"/>
            </w:pPr>
            <w:r>
              <w:rPr>
                <w:rFonts w:ascii="Arial" w:cs="Arial" w:eastAsia="Arial" w:hAnsi="Arial"/>
                <w:b/>
                <w:bCs/>
                <w:color w:val="333333"/>
                <w:sz w:val="18"/>
                <w:szCs w:val="18"/>
              </w:rPr>
              <w:t xml:space="preserve">Total Investment</w:t>
            </w:r>
          </w:p>
          <w:p>
            <w:pPr>
              <w:spacing w:after="0" w:before="0"/>
              <w:jc w:val="center"/>
            </w:pPr>
            <w:r>
              <w:rPr>
                <w:rFonts w:ascii="Arial" w:cs="Arial" w:eastAsia="Arial" w:hAnsi="Arial"/>
                <w:i/>
                <w:iCs/>
                <w:color w:val="666666"/>
                <w:sz w:val="16"/>
                <w:szCs w:val="16"/>
              </w:rPr>
              <w:t xml:space="preserve">18-Month Program</w:t>
            </w:r>
          </w:p>
        </w:tc>
        <w:tc>
          <w:tcPr>
            <w:tcW w:type="dxa" w:w="2340"/>
            <w:tcBorders>
              <w:top w:val="none" w:color="FFFFFF" w:sz="0"/>
              <w:left w:val="none" w:color="FFFFFF" w:sz="0"/>
              <w:bottom w:val="none" w:color="FFFFFF" w:sz="0"/>
              <w:right w:val="none" w:color="FFFFFF" w:sz="0"/>
            </w:tcBorders>
            <w:shd w:fill="E2EFDA" w:val="clear"/>
            <w:tcMar>
              <w:top w:type="dxa" w:w="120"/>
              <w:left w:type="dxa" w:w="120"/>
              <w:bottom w:type="dxa" w:w="120"/>
              <w:right w:type="dxa" w:w="120"/>
            </w:tcMar>
          </w:tcPr>
          <w:p>
            <w:pPr>
              <w:spacing w:after="40" w:before="0"/>
              <w:jc w:val="center"/>
            </w:pPr>
            <w:r>
              <w:rPr>
                <w:rFonts w:ascii="Arial" w:cs="Arial" w:eastAsia="Arial" w:hAnsi="Arial"/>
                <w:b/>
                <w:bCs/>
                <w:color w:val="1F4E79"/>
                <w:sz w:val="40"/>
                <w:szCs w:val="40"/>
              </w:rPr>
              <w:t xml:space="preserve">154%</w:t>
            </w:r>
          </w:p>
          <w:p>
            <w:pPr>
              <w:spacing w:after="40" w:before="0"/>
              <w:jc w:val="center"/>
            </w:pPr>
            <w:r>
              <w:rPr>
                <w:rFonts w:ascii="Arial" w:cs="Arial" w:eastAsia="Arial" w:hAnsi="Arial"/>
                <w:b/>
                <w:bCs/>
                <w:color w:val="333333"/>
                <w:sz w:val="18"/>
                <w:szCs w:val="18"/>
              </w:rPr>
              <w:t xml:space="preserve">Projected ROI</w:t>
            </w:r>
          </w:p>
          <w:p>
            <w:pPr>
              <w:spacing w:after="0" w:before="0"/>
              <w:jc w:val="center"/>
            </w:pPr>
            <w:r>
              <w:rPr>
                <w:rFonts w:ascii="Arial" w:cs="Arial" w:eastAsia="Arial" w:hAnsi="Arial"/>
                <w:i/>
                <w:iCs/>
                <w:color w:val="666666"/>
                <w:sz w:val="16"/>
                <w:szCs w:val="16"/>
              </w:rPr>
              <w:t xml:space="preserve">By Month 18</w:t>
            </w:r>
          </w:p>
        </w:tc>
        <w:tc>
          <w:tcPr>
            <w:tcW w:type="dxa" w:w="2340"/>
            <w:tcBorders>
              <w:top w:val="none" w:color="FFFFFF" w:sz="0"/>
              <w:left w:val="none" w:color="FFFFFF" w:sz="0"/>
              <w:bottom w:val="none" w:color="FFFFFF" w:sz="0"/>
              <w:right w:val="none" w:color="FFFFFF" w:sz="0"/>
            </w:tcBorders>
            <w:shd w:fill="FFEB9C" w:val="clear"/>
            <w:tcMar>
              <w:top w:type="dxa" w:w="120"/>
              <w:left w:type="dxa" w:w="120"/>
              <w:bottom w:type="dxa" w:w="120"/>
              <w:right w:type="dxa" w:w="120"/>
            </w:tcMar>
          </w:tcPr>
          <w:p>
            <w:pPr>
              <w:spacing w:after="40" w:before="0"/>
              <w:jc w:val="center"/>
            </w:pPr>
            <w:r>
              <w:rPr>
                <w:rFonts w:ascii="Arial" w:cs="Arial" w:eastAsia="Arial" w:hAnsi="Arial"/>
                <w:b/>
                <w:bCs/>
                <w:color w:val="1F4E79"/>
                <w:sz w:val="40"/>
                <w:szCs w:val="40"/>
              </w:rPr>
              <w:t xml:space="preserve">$6.5M</w:t>
            </w:r>
          </w:p>
          <w:p>
            <w:pPr>
              <w:spacing w:after="40" w:before="0"/>
              <w:jc w:val="center"/>
            </w:pPr>
            <w:r>
              <w:rPr>
                <w:rFonts w:ascii="Arial" w:cs="Arial" w:eastAsia="Arial" w:hAnsi="Arial"/>
                <w:b/>
                <w:bCs/>
                <w:color w:val="333333"/>
                <w:sz w:val="18"/>
                <w:szCs w:val="18"/>
              </w:rPr>
              <w:t xml:space="preserve">Annual Benefit</w:t>
            </w:r>
          </w:p>
          <w:p>
            <w:pPr>
              <w:spacing w:after="0" w:before="0"/>
              <w:jc w:val="center"/>
            </w:pPr>
            <w:r>
              <w:rPr>
                <w:rFonts w:ascii="Arial" w:cs="Arial" w:eastAsia="Arial" w:hAnsi="Arial"/>
                <w:i/>
                <w:iCs/>
                <w:color w:val="666666"/>
                <w:sz w:val="16"/>
                <w:szCs w:val="16"/>
              </w:rPr>
              <w:t xml:space="preserve">Recurring Savings + Revenue</w:t>
            </w:r>
          </w:p>
        </w:tc>
        <w:tc>
          <w:tcPr>
            <w:tcW w:type="dxa" w:w="234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spacing w:after="40" w:before="0"/>
              <w:jc w:val="center"/>
            </w:pPr>
            <w:r>
              <w:rPr>
                <w:rFonts w:ascii="Arial" w:cs="Arial" w:eastAsia="Arial" w:hAnsi="Arial"/>
                <w:b/>
                <w:bCs/>
                <w:color w:val="1F4E79"/>
                <w:sz w:val="40"/>
                <w:szCs w:val="40"/>
              </w:rPr>
              <w:t xml:space="preserve">Month 11</w:t>
            </w:r>
          </w:p>
          <w:p>
            <w:pPr>
              <w:spacing w:after="40" w:before="0"/>
              <w:jc w:val="center"/>
            </w:pPr>
            <w:r>
              <w:rPr>
                <w:rFonts w:ascii="Arial" w:cs="Arial" w:eastAsia="Arial" w:hAnsi="Arial"/>
                <w:b/>
                <w:bCs/>
                <w:color w:val="333333"/>
                <w:sz w:val="18"/>
                <w:szCs w:val="18"/>
              </w:rPr>
              <w:t xml:space="preserve">Break-Even</w:t>
            </w:r>
          </w:p>
          <w:p>
            <w:pPr>
              <w:spacing w:after="0" w:before="0"/>
              <w:jc w:val="center"/>
            </w:pPr>
            <w:r>
              <w:rPr>
                <w:rFonts w:ascii="Arial" w:cs="Arial" w:eastAsia="Arial" w:hAnsi="Arial"/>
                <w:i/>
                <w:iCs/>
                <w:color w:val="666666"/>
                <w:sz w:val="16"/>
                <w:szCs w:val="16"/>
              </w:rPr>
              <w:t xml:space="preserve">Conservative Estimate</w:t>
            </w:r>
          </w:p>
        </w:tc>
      </w:tr>
    </w:tbl>
    <w:p>
      <w:pPr>
        <w:spacing w:after="80" w:before="60"/>
      </w:pPr>
      <w:r>
        <w:rPr>
          <w:rFonts w:ascii="Arial" w:cs="Arial" w:eastAsia="Arial" w:hAnsi="Arial"/>
          <w:sz w:val="22"/>
          <w:szCs w:val="22"/>
        </w:rPr>
        <w:t xml:space="preserve"/>
      </w:r>
    </w:p>
    <w:p>
      <w:pPr>
        <w:pBdr>
          <w:bottom w:val="single" w:color="2E75B6" w:sz="4" w:space="1"/>
        </w:pBdr>
        <w:spacing w:after="140" w:before="140"/>
      </w:pPr>
    </w:p>
    <w:p>
      <w:pPr>
        <w:pStyle w:val="Heading1"/>
        <w:spacing w:after="120" w:before="360"/>
      </w:pPr>
      <w:r>
        <w:rPr>
          <w:rFonts w:ascii="Arial" w:cs="Arial" w:eastAsia="Arial" w:hAnsi="Arial"/>
          <w:b/>
          <w:bCs/>
          <w:color w:val="1F4E79"/>
          <w:sz w:val="30"/>
          <w:szCs w:val="30"/>
        </w:rPr>
        <w:t xml:space="preserve">Strategic Alignment</w:t>
      </w:r>
    </w:p>
    <w:p>
      <w:pPr>
        <w:spacing w:after="80" w:before="60"/>
      </w:pPr>
      <w:r>
        <w:rPr>
          <w:rFonts w:ascii="Arial" w:cs="Arial" w:eastAsia="Arial" w:hAnsi="Arial"/>
          <w:sz w:val="22"/>
          <w:szCs w:val="22"/>
        </w:rPr>
        <w:t xml:space="preserve">Riverside Community Hospital stands at a decisive inflection point. Patient volumes have surged 22% above pre-pandemic baselines while operational costs have increased 31%, creating a structural margin compression that threatens long-term financial sustainability and our ability to reinvest in community health infrastructure. Simultaneously, our three-hospital-acquisition legacy has left us operating on fragmented technology systems that impede care coordination, expose us to avoidable clinical risk, and generate measurable waste.</w:t>
      </w:r>
    </w:p>
    <w:p>
      <w:pPr>
        <w:spacing w:after="80" w:before="60"/>
      </w:pPr>
      <w:r>
        <w:rPr>
          <w:rFonts w:ascii="Arial" w:cs="Arial" w:eastAsia="Arial" w:hAnsi="Arial"/>
          <w:sz w:val="22"/>
          <w:szCs w:val="22"/>
        </w:rPr>
        <w:t xml:space="preserve">This AI investment is not a technology experiment—it is the operational backbone of RCH's five-year strategic plan. By deploying Microsoft Azure AI services and Microsoft Cloud for Healthcare, we directly address our three most urgent operational challenges: unsustainable clinician documentation burden driving $2.9M in annual turnover costs; a 19.3% patient no-show rate costing $5.04M in lost revenue; and interoperability fragmentation generating $1.2M in redundant diagnostic spending annually.</w:t>
      </w:r>
    </w:p>
    <w:p>
      <w:pPr>
        <w:spacing w:after="80" w:before="60"/>
      </w:pPr>
      <w:r>
        <w:rPr>
          <w:rFonts w:ascii="Arial" w:cs="Arial" w:eastAsia="Arial" w:hAnsi="Arial"/>
          <w:sz w:val="22"/>
          <w:szCs w:val="22"/>
        </w:rPr>
        <w:t xml:space="preserve">This initiative aligns RCH with its Board-approved strategic pillars: Workforce Excellence, Patient-Centered Care, Financial Sustainability, and Digital Innovation. Microsoft's HIPAA-compliant Azure infrastructure and built-in Responsible AI principles ensure that our transformation advances both operational goals and our commitment to equitable, safe patient care.</w:t>
      </w:r>
    </w:p>
    <w:p>
      <w:pPr>
        <w:pBdr>
          <w:bottom w:val="single" w:color="2E75B6" w:sz="4" w:space="1"/>
        </w:pBdr>
        <w:spacing w:after="140" w:before="140"/>
      </w:pPr>
    </w:p>
    <w:p>
      <w:pPr>
        <w:pStyle w:val="Heading1"/>
        <w:spacing w:after="120" w:before="360"/>
      </w:pPr>
      <w:r>
        <w:rPr>
          <w:rFonts w:ascii="Arial" w:cs="Arial" w:eastAsia="Arial" w:hAnsi="Arial"/>
          <w:b/>
          <w:bCs/>
          <w:color w:val="1F4E79"/>
          <w:sz w:val="30"/>
          <w:szCs w:val="30"/>
        </w:rPr>
        <w:t xml:space="preserve">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Financial Category</w:t>
            </w:r>
          </w:p>
        </w:tc>
        <w:tc>
          <w:tcPr>
            <w:tcW w:type="dxa" w:w="1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1</w:t>
            </w:r>
          </w:p>
        </w:tc>
        <w:tc>
          <w:tcPr>
            <w:tcW w:type="dxa" w:w="1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2</w:t>
            </w:r>
          </w:p>
        </w:tc>
        <w:tc>
          <w:tcPr>
            <w:tcW w:type="dxa" w:w="1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3</w:t>
            </w:r>
          </w:p>
        </w:tc>
        <w:tc>
          <w:tcPr>
            <w:tcW w:type="dxa" w:w="1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3-Yr Total</w:t>
            </w:r>
          </w:p>
        </w:tc>
      </w:tr>
      <w:tr>
        <w:tc>
          <w:tcPr>
            <w:tcW w:type="dxa" w:w="312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rFonts w:ascii="Arial" w:cs="Arial" w:eastAsia="Arial" w:hAnsi="Arial"/>
                <w:sz w:val="20"/>
                <w:szCs w:val="20"/>
              </w:rPr>
              <w:t xml:space="preserve">Total Investment (Platform + Implementation)</w:t>
            </w:r>
          </w:p>
        </w:tc>
        <w:tc>
          <w:tcPr>
            <w:tcW w:type="dxa" w:w="15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($3.1M)</w:t>
            </w:r>
          </w:p>
        </w:tc>
        <w:tc>
          <w:tcPr>
            <w:tcW w:type="dxa" w:w="15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($0.6M)</w:t>
            </w:r>
          </w:p>
        </w:tc>
        <w:tc>
          <w:tcPr>
            <w:tcW w:type="dxa" w:w="15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($0.5M)</w:t>
            </w:r>
          </w:p>
        </w:tc>
        <w:tc>
          <w:tcPr>
            <w:tcW w:type="dxa" w:w="15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($4.2M)</w:t>
            </w:r>
          </w:p>
        </w:tc>
      </w:tr>
      <w:tr>
        <w:tc>
          <w:tcPr>
            <w:tcW w:type="dxa" w:w="31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sz w:val="20"/>
                <w:szCs w:val="20"/>
              </w:rPr>
              <w:t xml:space="preserve">Revenue Recovery (No-Show Reduction)</w:t>
            </w:r>
          </w:p>
        </w:tc>
        <w:tc>
          <w:tcPr>
            <w:tcW w:type="dxa" w:w="15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$2.1M</w:t>
            </w:r>
          </w:p>
        </w:tc>
        <w:tc>
          <w:tcPr>
            <w:tcW w:type="dxa" w:w="15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$4.2M</w:t>
            </w:r>
          </w:p>
        </w:tc>
        <w:tc>
          <w:tcPr>
            <w:tcW w:type="dxa" w:w="15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$4.2M</w:t>
            </w:r>
          </w:p>
        </w:tc>
        <w:tc>
          <w:tcPr>
            <w:tcW w:type="dxa" w:w="15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$10.5M</w:t>
            </w:r>
          </w:p>
        </w:tc>
      </w:tr>
      <w:tr>
        <w:tc>
          <w:tcPr>
            <w:tcW w:type="dxa" w:w="31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sz w:val="20"/>
                <w:szCs w:val="20"/>
              </w:rPr>
              <w:t xml:space="preserve">Cost Savings (Workforce + Diagnostic Waste)</w:t>
            </w:r>
          </w:p>
        </w:tc>
        <w:tc>
          <w:tcPr>
            <w:tcW w:type="dxa" w:w="15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$1.4M</w:t>
            </w:r>
          </w:p>
        </w:tc>
        <w:tc>
          <w:tcPr>
            <w:tcW w:type="dxa" w:w="15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$2.3M</w:t>
            </w:r>
          </w:p>
        </w:tc>
        <w:tc>
          <w:tcPr>
            <w:tcW w:type="dxa" w:w="15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$2.3M</w:t>
            </w:r>
          </w:p>
        </w:tc>
        <w:tc>
          <w:tcPr>
            <w:tcW w:type="dxa" w:w="15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$6.0M</w:t>
            </w:r>
          </w:p>
        </w:tc>
      </w:tr>
      <w:tr>
        <w:tc>
          <w:tcPr>
            <w:tcW w:type="dxa" w:w="312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NET CUMULATIVE BENEFIT</w:t>
            </w:r>
          </w:p>
        </w:tc>
        <w:tc>
          <w:tcPr>
            <w:tcW w:type="dxa" w:w="1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$0.4M</w:t>
            </w:r>
          </w:p>
        </w:tc>
        <w:tc>
          <w:tcPr>
            <w:tcW w:type="dxa" w:w="1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$5.9M</w:t>
            </w:r>
          </w:p>
        </w:tc>
        <w:tc>
          <w:tcPr>
            <w:tcW w:type="dxa" w:w="1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$11.7M</w:t>
            </w:r>
          </w:p>
        </w:tc>
        <w:tc>
          <w:tcPr>
            <w:tcW w:type="dxa" w:w="1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$12.3M</w:t>
            </w:r>
          </w:p>
        </w:tc>
      </w:tr>
    </w:tbl>
    <w:p>
      <w:pPr>
        <w:spacing w:after="8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Conservative financial modeling based on vendor-validated benchmarks from peer community hospitals with comparable implementations. All projections reflect 70% achievement scenarios; full-scenario analysis yields a three-year net benefit of $16.8M. Break-even is projected at Month 11 under the conservative model.</w:t>
      </w:r>
    </w:p>
    <w:p>
      <w:pPr>
        <w:pBdr>
          <w:bottom w:val="single" w:color="2E75B6" w:sz="4" w:space="1"/>
        </w:pBdr>
        <w:spacing w:after="140" w:before="140"/>
      </w:pPr>
    </w:p>
    <w:p>
      <w:pPr>
        <w:pStyle w:val="Heading1"/>
        <w:spacing w:after="120" w:before="360"/>
      </w:pPr>
      <w:r>
        <w:rPr>
          <w:rFonts w:ascii="Arial" w:cs="Arial" w:eastAsia="Arial" w:hAnsi="Arial"/>
          <w:b/>
          <w:bCs/>
          <w:color w:val="1F4E79"/>
          <w:sz w:val="30"/>
          <w:szCs w:val="30"/>
        </w:rPr>
        <w:t xml:space="preserve">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200"/>
        <w:gridCol w:w="1200"/>
        <w:gridCol w:w="4620"/>
      </w:tblGrid>
      <w:tr>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Likelihood</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46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234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rFonts w:ascii="Arial" w:cs="Arial" w:eastAsia="Arial" w:hAnsi="Arial"/>
                <w:sz w:val="18"/>
                <w:szCs w:val="18"/>
              </w:rPr>
              <w:t xml:space="preserve">Staff adoption resistance</w:t>
            </w:r>
          </w:p>
        </w:tc>
        <w:tc>
          <w:tcPr>
            <w:tcW w:type="dxa" w:w="12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pPr>
              <w:jc w:val="center"/>
            </w:pPr>
            <w:r>
              <w:rPr>
                <w:rFonts w:ascii="Arial" w:cs="Arial" w:eastAsia="Arial" w:hAnsi="Arial"/>
                <w:sz w:val="18"/>
                <w:szCs w:val="18"/>
              </w:rPr>
              <w:t xml:space="preserve">Medium</w:t>
            </w:r>
          </w:p>
        </w:tc>
        <w:tc>
          <w:tcPr>
            <w:tcW w:type="dxa" w:w="12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pPr>
              <w:jc w:val="center"/>
            </w:pPr>
            <w:r>
              <w:rPr>
                <w:rFonts w:ascii="Arial" w:cs="Arial" w:eastAsia="Arial" w:hAnsi="Arial"/>
                <w:sz w:val="18"/>
                <w:szCs w:val="18"/>
              </w:rPr>
              <w:t xml:space="preserve">High</w:t>
            </w:r>
          </w:p>
        </w:tc>
        <w:tc>
          <w:tcPr>
            <w:tcW w:type="dxa" w:w="462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rFonts w:ascii="Arial" w:cs="Arial" w:eastAsia="Arial" w:hAnsi="Arial"/>
                <w:sz w:val="18"/>
                <w:szCs w:val="18"/>
              </w:rPr>
              <w:t xml:space="preserve">ADKAR change management model; clinical champion program; phased rollout with opt-in pilot cohort; dedicated AI Help Desk during rollout</w:t>
            </w:r>
          </w:p>
        </w:tc>
      </w:tr>
      <w:tr>
        <w:tc>
          <w:tcPr>
            <w:tcW w:type="dxa" w:w="2340"/>
            <w:tcBorders>
              <w:top w:val="single" w:color="BFBFBF" w:sz="1"/>
              <w:left w:val="single" w:color="BFBFBF" w:sz="1"/>
              <w:bottom w:val="single" w:color="BFBFBF" w:sz="1"/>
              <w:right w:val="single" w:color="BFBFBF" w:sz="1"/>
            </w:tcBorders>
            <w:shd w:fill="FFEB9C" w:val="clear"/>
            <w:tcMar>
              <w:top w:type="dxa" w:w="80"/>
              <w:left w:type="dxa" w:w="120"/>
              <w:bottom w:type="dxa" w:w="80"/>
              <w:right w:type="dxa" w:w="120"/>
            </w:tcMar>
          </w:tcPr>
          <w:p>
            <w:r>
              <w:rPr>
                <w:rFonts w:ascii="Arial" w:cs="Arial" w:eastAsia="Arial" w:hAnsi="Arial"/>
                <w:sz w:val="18"/>
                <w:szCs w:val="18"/>
              </w:rPr>
              <w:t xml:space="preserve">HIPAA / data privacy breach</w:t>
            </w:r>
          </w:p>
        </w:tc>
        <w:tc>
          <w:tcPr>
            <w:tcW w:type="dxa" w:w="1200"/>
            <w:tcBorders>
              <w:top w:val="single" w:color="BFBFBF" w:sz="1"/>
              <w:left w:val="single" w:color="BFBFBF" w:sz="1"/>
              <w:bottom w:val="single" w:color="BFBFBF" w:sz="1"/>
              <w:right w:val="single" w:color="BFBFBF" w:sz="1"/>
            </w:tcBorders>
            <w:shd w:fill="FFEB9C" w:val="clear"/>
            <w:tcMar>
              <w:top w:type="dxa" w:w="80"/>
              <w:left w:type="dxa" w:w="120"/>
              <w:bottom w:type="dxa" w:w="80"/>
              <w:right w:type="dxa" w:w="120"/>
            </w:tcMar>
          </w:tcPr>
          <w:p>
            <w:pPr>
              <w:jc w:val="center"/>
            </w:pPr>
            <w:r>
              <w:rPr>
                <w:rFonts w:ascii="Arial" w:cs="Arial" w:eastAsia="Arial" w:hAnsi="Arial"/>
                <w:sz w:val="18"/>
                <w:szCs w:val="18"/>
              </w:rPr>
              <w:t xml:space="preserve">Low</w:t>
            </w:r>
          </w:p>
        </w:tc>
        <w:tc>
          <w:tcPr>
            <w:tcW w:type="dxa" w:w="1200"/>
            <w:tcBorders>
              <w:top w:val="single" w:color="BFBFBF" w:sz="1"/>
              <w:left w:val="single" w:color="BFBFBF" w:sz="1"/>
              <w:bottom w:val="single" w:color="BFBFBF" w:sz="1"/>
              <w:right w:val="single" w:color="BFBFBF" w:sz="1"/>
            </w:tcBorders>
            <w:shd w:fill="FFEB9C" w:val="clear"/>
            <w:tcMar>
              <w:top w:type="dxa" w:w="80"/>
              <w:left w:type="dxa" w:w="120"/>
              <w:bottom w:type="dxa" w:w="80"/>
              <w:right w:type="dxa" w:w="120"/>
            </w:tcMar>
          </w:tcPr>
          <w:p>
            <w:pPr>
              <w:jc w:val="center"/>
            </w:pPr>
            <w:r>
              <w:rPr>
                <w:rFonts w:ascii="Arial" w:cs="Arial" w:eastAsia="Arial" w:hAnsi="Arial"/>
                <w:sz w:val="18"/>
                <w:szCs w:val="18"/>
              </w:rPr>
              <w:t xml:space="preserve">Critical</w:t>
            </w:r>
          </w:p>
        </w:tc>
        <w:tc>
          <w:tcPr>
            <w:tcW w:type="dxa" w:w="4620"/>
            <w:tcBorders>
              <w:top w:val="single" w:color="BFBFBF" w:sz="1"/>
              <w:left w:val="single" w:color="BFBFBF" w:sz="1"/>
              <w:bottom w:val="single" w:color="BFBFBF" w:sz="1"/>
              <w:right w:val="single" w:color="BFBFBF" w:sz="1"/>
            </w:tcBorders>
            <w:shd w:fill="FFEB9C" w:val="clear"/>
            <w:tcMar>
              <w:top w:type="dxa" w:w="80"/>
              <w:left w:type="dxa" w:w="120"/>
              <w:bottom w:type="dxa" w:w="80"/>
              <w:right w:type="dxa" w:w="120"/>
            </w:tcMar>
          </w:tcPr>
          <w:p>
            <w:r>
              <w:rPr>
                <w:rFonts w:ascii="Arial" w:cs="Arial" w:eastAsia="Arial" w:hAnsi="Arial"/>
                <w:sz w:val="18"/>
                <w:szCs w:val="18"/>
              </w:rPr>
              <w:t xml:space="preserve">Azure HIPAA BAA executed; AES-256 encryption; Azure Sentinel SIEM monitoring; incident response protocol with 24-hr regulatory notification</w:t>
            </w:r>
          </w:p>
        </w:tc>
      </w:tr>
      <w:tr>
        <w:tc>
          <w:tcPr>
            <w:tcW w:type="dxa" w:w="234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rFonts w:ascii="Arial" w:cs="Arial" w:eastAsia="Arial" w:hAnsi="Arial"/>
                <w:sz w:val="18"/>
                <w:szCs w:val="18"/>
              </w:rPr>
              <w:t xml:space="preserve">AI bias in clinical outputs</w:t>
            </w:r>
          </w:p>
        </w:tc>
        <w:tc>
          <w:tcPr>
            <w:tcW w:type="dxa" w:w="12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pPr>
              <w:jc w:val="center"/>
            </w:pPr>
            <w:r>
              <w:rPr>
                <w:rFonts w:ascii="Arial" w:cs="Arial" w:eastAsia="Arial" w:hAnsi="Arial"/>
                <w:sz w:val="18"/>
                <w:szCs w:val="18"/>
              </w:rPr>
              <w:t xml:space="preserve">Low</w:t>
            </w:r>
          </w:p>
        </w:tc>
        <w:tc>
          <w:tcPr>
            <w:tcW w:type="dxa" w:w="12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pPr>
              <w:jc w:val="center"/>
            </w:pPr>
            <w:r>
              <w:rPr>
                <w:rFonts w:ascii="Arial" w:cs="Arial" w:eastAsia="Arial" w:hAnsi="Arial"/>
                <w:sz w:val="18"/>
                <w:szCs w:val="18"/>
              </w:rPr>
              <w:t xml:space="preserve">High</w:t>
            </w:r>
          </w:p>
        </w:tc>
        <w:tc>
          <w:tcPr>
            <w:tcW w:type="dxa" w:w="462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rFonts w:ascii="Arial" w:cs="Arial" w:eastAsia="Arial" w:hAnsi="Arial"/>
                <w:sz w:val="18"/>
                <w:szCs w:val="18"/>
              </w:rPr>
              <w:t xml:space="preserve">Monthly demographic bias audits via Azure ML Fairness; Ethics Committee quarterly review; human-in-the-loop attestation for all AI-generated clinical notes</w:t>
            </w:r>
          </w:p>
        </w:tc>
      </w:tr>
      <w:tr>
        <w:tc>
          <w:tcPr>
            <w:tcW w:type="dxa" w:w="2340"/>
            <w:tcBorders>
              <w:top w:val="single" w:color="BFBFBF" w:sz="1"/>
              <w:left w:val="single" w:color="BFBFBF" w:sz="1"/>
              <w:bottom w:val="single" w:color="BFBFBF" w:sz="1"/>
              <w:right w:val="single" w:color="BFBFBF" w:sz="1"/>
            </w:tcBorders>
            <w:shd w:fill="FFEB9C" w:val="clear"/>
            <w:tcMar>
              <w:top w:type="dxa" w:w="80"/>
              <w:left w:type="dxa" w:w="120"/>
              <w:bottom w:type="dxa" w:w="80"/>
              <w:right w:type="dxa" w:w="120"/>
            </w:tcMar>
          </w:tcPr>
          <w:p>
            <w:r>
              <w:rPr>
                <w:rFonts w:ascii="Arial" w:cs="Arial" w:eastAsia="Arial" w:hAnsi="Arial"/>
                <w:sz w:val="18"/>
                <w:szCs w:val="18"/>
              </w:rPr>
              <w:t xml:space="preserve">EHR integration delays</w:t>
            </w:r>
          </w:p>
        </w:tc>
        <w:tc>
          <w:tcPr>
            <w:tcW w:type="dxa" w:w="1200"/>
            <w:tcBorders>
              <w:top w:val="single" w:color="BFBFBF" w:sz="1"/>
              <w:left w:val="single" w:color="BFBFBF" w:sz="1"/>
              <w:bottom w:val="single" w:color="BFBFBF" w:sz="1"/>
              <w:right w:val="single" w:color="BFBFBF" w:sz="1"/>
            </w:tcBorders>
            <w:shd w:fill="FFEB9C" w:val="clear"/>
            <w:tcMar>
              <w:top w:type="dxa" w:w="80"/>
              <w:left w:type="dxa" w:w="120"/>
              <w:bottom w:type="dxa" w:w="80"/>
              <w:right w:type="dxa" w:w="120"/>
            </w:tcMar>
          </w:tcPr>
          <w:p>
            <w:pPr>
              <w:jc w:val="center"/>
            </w:pPr>
            <w:r>
              <w:rPr>
                <w:rFonts w:ascii="Arial" w:cs="Arial" w:eastAsia="Arial" w:hAnsi="Arial"/>
                <w:sz w:val="18"/>
                <w:szCs w:val="18"/>
              </w:rPr>
              <w:t xml:space="preserve">Medium</w:t>
            </w:r>
          </w:p>
        </w:tc>
        <w:tc>
          <w:tcPr>
            <w:tcW w:type="dxa" w:w="1200"/>
            <w:tcBorders>
              <w:top w:val="single" w:color="BFBFBF" w:sz="1"/>
              <w:left w:val="single" w:color="BFBFBF" w:sz="1"/>
              <w:bottom w:val="single" w:color="BFBFBF" w:sz="1"/>
              <w:right w:val="single" w:color="BFBFBF" w:sz="1"/>
            </w:tcBorders>
            <w:shd w:fill="FFEB9C" w:val="clear"/>
            <w:tcMar>
              <w:top w:type="dxa" w:w="80"/>
              <w:left w:type="dxa" w:w="120"/>
              <w:bottom w:type="dxa" w:w="80"/>
              <w:right w:type="dxa" w:w="120"/>
            </w:tcMar>
          </w:tcPr>
          <w:p>
            <w:pPr>
              <w:jc w:val="center"/>
            </w:pPr>
            <w:r>
              <w:rPr>
                <w:rFonts w:ascii="Arial" w:cs="Arial" w:eastAsia="Arial" w:hAnsi="Arial"/>
                <w:sz w:val="18"/>
                <w:szCs w:val="18"/>
              </w:rPr>
              <w:t xml:space="preserve">Medium</w:t>
            </w:r>
          </w:p>
        </w:tc>
        <w:tc>
          <w:tcPr>
            <w:tcW w:type="dxa" w:w="4620"/>
            <w:tcBorders>
              <w:top w:val="single" w:color="BFBFBF" w:sz="1"/>
              <w:left w:val="single" w:color="BFBFBF" w:sz="1"/>
              <w:bottom w:val="single" w:color="BFBFBF" w:sz="1"/>
              <w:right w:val="single" w:color="BFBFBF" w:sz="1"/>
            </w:tcBorders>
            <w:shd w:fill="FFEB9C" w:val="clear"/>
            <w:tcMar>
              <w:top w:type="dxa" w:w="80"/>
              <w:left w:type="dxa" w:w="120"/>
              <w:bottom w:type="dxa" w:w="80"/>
              <w:right w:type="dxa" w:w="120"/>
            </w:tcMar>
          </w:tcPr>
          <w:p>
            <w:r>
              <w:rPr>
                <w:rFonts w:ascii="Arial" w:cs="Arial" w:eastAsia="Arial" w:hAnsi="Arial"/>
                <w:sz w:val="18"/>
                <w:szCs w:val="18"/>
              </w:rPr>
              <w:t xml:space="preserve">FHIR R4 standardization reduces integration complexity; dedicated Microsoft FastTrack implementation team; phased go-live by department</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Budget overrun</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Low</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Medium</w:t>
            </w:r>
          </w:p>
        </w:tc>
        <w:tc>
          <w:tcPr>
            <w:tcW w:type="dxa" w:w="46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Fixed-price implementation contract; 15% contingency reserve built into $4.2M budget; monthly financial variance reporting to CFO</w:t>
            </w:r>
          </w:p>
        </w:tc>
      </w:tr>
    </w:tbl>
    <w:p>
      <w:pPr>
        <w:spacing w:after="80" w:before="60"/>
      </w:pPr>
      <w:r>
        <w:rPr>
          <w:rFonts w:ascii="Arial" w:cs="Arial" w:eastAsia="Arial" w:hAnsi="Arial"/>
          <w:sz w:val="22"/>
          <w:szCs w:val="22"/>
        </w:rPr>
        <w:t xml:space="preserve"/>
      </w:r>
    </w:p>
    <w:p>
      <w:pPr>
        <w:pBdr>
          <w:bottom w:val="single" w:color="2E75B6" w:sz="4" w:space="1"/>
        </w:pBdr>
        <w:spacing w:after="140" w:before="140"/>
      </w:pPr>
    </w:p>
    <w:p>
      <w:pPr>
        <w:pStyle w:val="Heading1"/>
        <w:spacing w:after="120" w:before="360"/>
      </w:pPr>
      <w:r>
        <w:rPr>
          <w:rFonts w:ascii="Arial" w:cs="Arial" w:eastAsia="Arial" w:hAnsi="Arial"/>
          <w:b/>
          <w:bCs/>
          <w:color w:val="1F4E79"/>
          <w:sz w:val="30"/>
          <w:szCs w:val="30"/>
        </w:rPr>
        <w:t xml:space="preserve">Board Recommendations and Requested Actions</w:t>
      </w:r>
    </w:p>
    <w:p>
      <w:pPr>
        <w:spacing w:after="80" w:before="60"/>
      </w:pPr>
      <w:r>
        <w:rPr>
          <w:rFonts w:ascii="Arial" w:cs="Arial" w:eastAsia="Arial" w:hAnsi="Arial"/>
          <w:sz w:val="22"/>
          <w:szCs w:val="22"/>
        </w:rPr>
        <w:t xml:space="preserve">Based on the operational urgency, financial case, and strategic imperative presented in this proposal, the Healthcare AI Consulting Group respectfully requests the following Board actions:</w:t>
      </w:r>
    </w:p>
    <w:p>
      <w:pPr>
        <w:spacing w:after="80" w:before="6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APPROVE the $4.2M Azure AI Transformation Investment as a capital expenditure over 18 months, funded through a combination of operating cash reserves ($2.5M) and a technology financing facility ($1.7M) to be arranged by the CFO.</w:t>
      </w:r>
    </w:p>
    <w:p>
      <w:pPr>
        <w:pStyle w:val="ListParagraph"/>
        <w:numPr>
          <w:ilvl w:val="0"/>
          <w:numId w:val="2"/>
        </w:numPr>
        <w:spacing w:after="80" w:before="80"/>
      </w:pPr>
      <w:r>
        <w:rPr>
          <w:rFonts w:ascii="Arial" w:cs="Arial" w:eastAsia="Arial" w:hAnsi="Arial"/>
          <w:sz w:val="22"/>
          <w:szCs w:val="22"/>
        </w:rPr>
        <w:t xml:space="preserve">AUTHORIZE the CEO and CMO to execute the Microsoft Azure Enterprise Agreement and Cloud for Healthcare licensing arrangement within 30 days of Board approval.</w:t>
      </w:r>
    </w:p>
    <w:p>
      <w:pPr>
        <w:pStyle w:val="ListParagraph"/>
        <w:numPr>
          <w:ilvl w:val="0"/>
          <w:numId w:val="2"/>
        </w:numPr>
        <w:spacing w:after="80" w:before="80"/>
      </w:pPr>
      <w:r>
        <w:rPr>
          <w:rFonts w:ascii="Arial" w:cs="Arial" w:eastAsia="Arial" w:hAnsi="Arial"/>
          <w:sz w:val="22"/>
          <w:szCs w:val="22"/>
        </w:rPr>
        <w:t xml:space="preserve">ESTABLISH an AI Governance and Ethics Committee reporting to the Quality and Patient Safety Committee of the Board, with its charter approved within 60 days.</w:t>
      </w:r>
    </w:p>
    <w:p>
      <w:pPr>
        <w:pStyle w:val="ListParagraph"/>
        <w:numPr>
          <w:ilvl w:val="0"/>
          <w:numId w:val="2"/>
        </w:numPr>
        <w:spacing w:after="80" w:before="80"/>
      </w:pPr>
      <w:r>
        <w:rPr>
          <w:rFonts w:ascii="Arial" w:cs="Arial" w:eastAsia="Arial" w:hAnsi="Arial"/>
          <w:sz w:val="22"/>
          <w:szCs w:val="22"/>
        </w:rPr>
        <w:t xml:space="preserve">DIRECT management to report quarterly to the Board on implementation milestones, financial performance against projections, and Responsible AI governance compliance.</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sz w:val="22"/>
          <w:szCs w:val="22"/>
        </w:rPr>
        <w:t xml:space="preserve">The cost of inaction is not neutral. Without this investment, RCH faces continued margin compression, accelerating clinician burnout, and a widening competitive gap with regional health systems that have already deployed AI capabilities. The window to lead rather than follow in digital healthcare transformation is now. We urge the Board to act decisively in support of Riverside's patients, staff, and community.</w:t>
      </w:r>
    </w:p>
    <w:p>
      <w:pPr>
        <w:pBdr>
          <w:bottom w:val="single" w:color="2E75B6" w:sz="4" w:space="1"/>
        </w:pBdr>
        <w:spacing w:after="140" w:before="140"/>
      </w:pPr>
    </w:p>
    <w:p>
      <w:pPr>
        <w:spacing w:after="40" w:before="240"/>
        <w:jc w:val="center"/>
      </w:pPr>
      <w:r>
        <w:rPr>
          <w:rFonts w:ascii="Arial" w:cs="Arial" w:eastAsia="Arial" w:hAnsi="Arial"/>
          <w:b/>
          <w:bCs/>
          <w:color w:val="2E75B6"/>
          <w:sz w:val="28"/>
          <w:szCs w:val="28"/>
        </w:rPr>
        <w:t xml:space="preserve">Questions and Discussion</w:t>
      </w:r>
    </w:p>
    <w:p>
      <w:pPr>
        <w:spacing w:after="240" w:before="0"/>
        <w:jc w:val="center"/>
      </w:pPr>
      <w:r>
        <w:rPr>
          <w:rFonts w:ascii="Arial" w:cs="Arial" w:eastAsia="Arial" w:hAnsi="Arial"/>
          <w:color w:val="888888"/>
          <w:sz w:val="18"/>
          <w:szCs w:val="18"/>
        </w:rPr>
        <w:t xml:space="preserve">Healthcare AI Consulting Group  |  contact@healthcareaiconsulting.com  |  (206) 555-0147</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888888"/>
        <w:sz w:val="16"/>
        <w:szCs w:val="16"/>
      </w:rPr>
      <w:t xml:space="preserve">Azure AI Healthcare Transformation  |  Executive Stakeholder Presentation  |  Healthcare AI Consulting Group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color w:val="666666"/>
        <w:sz w:val="18"/>
        <w:szCs w:val="18"/>
      </w:rPr>
      <w:t xml:space="preserve">RIVERSIDE COMMUNITY HOSPITAL  |  BOARD OF DIRECTORS PRESENTATION</w:t>
    </w:r>
    <w:r>
      <w:rPr>
        <w:sz w:val="18"/>
        <w:szCs w:val="18"/>
      </w:rPr>
      <w:t xml:space="preserve">	</w:t>
    </w:r>
    <w:r>
      <w:rPr>
        <w:rFonts w:ascii="Arial" w:cs="Arial" w:eastAsia="Arial" w:hAnsi="Arial"/>
        <w:b/>
        <w:bCs/>
        <w:color w:val="2E75B6"/>
        <w:sz w:val="18"/>
        <w:szCs w:val="18"/>
      </w:rPr>
      <w:t xml:space="preserve">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2026-03-26T08:26:31.096Z</dcterms:created>
  <dcterms:modified xsi:type="dcterms:W3CDTF">2026-03-26T08:26:31.097Z</dcterms:modified>
</cp:coreProperties>
</file>

<file path=docProps/custom.xml><?xml version="1.0" encoding="utf-8"?>
<Properties xmlns="http://schemas.openxmlformats.org/officeDocument/2006/custom-properties" xmlns:vt="http://schemas.openxmlformats.org/officeDocument/2006/docPropsVTypes"/>
</file>