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4E79" w:val="clear"/>
        <w:spacing w:after="40" w:before="0"/>
      </w:pPr>
      <w:r>
        <w:rPr>
          <w:sz w:val="8"/>
          <w:szCs w:val="8"/>
        </w:rPr>
        <w:t xml:space="preserve"> </w:t>
      </w:r>
    </w:p>
    <w:p>
      <w:pPr>
        <w:spacing w:after="60" w:before="400"/>
        <w:jc w:val="center"/>
      </w:pPr>
      <w:r>
        <w:rPr>
          <w:rFonts w:ascii="Arial" w:cs="Arial" w:eastAsia="Arial" w:hAnsi="Arial"/>
          <w:b/>
          <w:bCs/>
          <w:color w:val="1F4E79"/>
          <w:sz w:val="48"/>
          <w:szCs w:val="48"/>
        </w:rPr>
        <w:t xml:space="preserve">STRATEGIC HEALTHCARE AI PROPOSAL</w:t>
      </w:r>
    </w:p>
    <w:p>
      <w:pPr>
        <w:spacing w:after="60" w:before="0"/>
        <w:jc w:val="center"/>
      </w:pPr>
      <w:r>
        <w:rPr>
          <w:rFonts w:ascii="Arial" w:cs="Arial" w:eastAsia="Arial" w:hAnsi="Arial"/>
          <w:b/>
          <w:bCs/>
          <w:color w:val="2E75B6"/>
          <w:sz w:val="36"/>
          <w:szCs w:val="36"/>
        </w:rPr>
        <w:t xml:space="preserve">Riverside Community Hospital</w:t>
      </w:r>
    </w:p>
    <w:p>
      <w:pPr>
        <w:spacing w:after="60" w:before="0"/>
        <w:jc w:val="center"/>
      </w:pPr>
      <w:r>
        <w:rPr>
          <w:rFonts w:ascii="Arial" w:cs="Arial" w:eastAsia="Arial" w:hAnsi="Arial"/>
          <w:color w:val="444444"/>
          <w:sz w:val="26"/>
          <w:szCs w:val="26"/>
        </w:rPr>
        <w:t xml:space="preserve">Azure AI-Powered Digital Transformation Initiative</w:t>
      </w:r>
    </w:p>
    <w:p>
      <w:pPr>
        <w:spacing w:after="320" w:before="0"/>
        <w:jc w:val="center"/>
      </w:pPr>
      <w:r>
        <w:rPr>
          <w:rFonts w:ascii="Arial" w:cs="Arial" w:eastAsia="Arial" w:hAnsi="Arial"/>
          <w:color w:val="666666"/>
          <w:sz w:val="20"/>
          <w:szCs w:val="20"/>
        </w:rPr>
        <w:t xml:space="preserve">Prepared by: Healthcare AI Consulting Group  |  March 2026</w:t>
      </w:r>
    </w:p>
    <w:p>
      <w:pPr>
        <w:pBdr>
          <w:bottom w:val="single" w:color="2E75B6" w:sz="4" w:space="1"/>
        </w:pBdr>
        <w:spacing w:after="120" w:before="120"/>
      </w:pPr>
    </w:p>
    <w:p>
      <w:pPr>
        <w:pStyle w:val="Heading1"/>
        <w:spacing w:after="120" w:before="360"/>
      </w:pPr>
      <w:r>
        <w:rPr>
          <w:rFonts w:ascii="Arial" w:cs="Arial" w:eastAsia="Arial" w:hAnsi="Arial"/>
          <w:b/>
          <w:bCs/>
          <w:color w:val="1F4E79"/>
          <w:sz w:val="32"/>
          <w:szCs w:val="32"/>
        </w:rPr>
        <w:t xml:space="preserve">1. Organization Profile and Context</w:t>
      </w:r>
    </w:p>
    <w:p>
      <w:pPr>
        <w:spacing w:after="80" w:before="60"/>
      </w:pPr>
      <w:r>
        <w:rPr>
          <w:rFonts w:ascii="Arial" w:cs="Arial" w:eastAsia="Arial" w:hAnsi="Arial"/>
          <w:sz w:val="22"/>
          <w:szCs w:val="22"/>
        </w:rPr>
        <w:t xml:space="preserve">Riverside Community Hospital (RCH) is a 200-bed non-profit acute care hospital serving a semi-urban population of approximately 180,000 residents across three counties in the Pacific Northwest. Founded in 1962, RCH operates a 24/7 Emergency Department, surgical suites, inpatient medical and surgical units, an outpatient imaging center, and affiliated primary care clinics. The hospital employs 1,200 staff including 320 nurses, 180 physicians, and 700 support personnel.</w:t>
      </w:r>
    </w:p>
    <w:p>
      <w:pPr>
        <w:spacing w:after="80" w:before="60"/>
      </w:pPr>
      <w:r>
        <w:rPr>
          <w:rFonts w:ascii="Arial" w:cs="Arial" w:eastAsia="Arial" w:hAnsi="Arial"/>
          <w:sz w:val="22"/>
          <w:szCs w:val="22"/>
        </w:rPr>
        <w:t xml:space="preserve">RCH has maintained Joint Commission accreditation continuously since 1985 and participates in Medicare and Medicaid programs. Despite a strong community reputation, the organization faces mounting pressures: post-pandemic patient volumes have surged 22% above pre-COVID baselines, while operational costs have risen 31% over the same period. Leadership has identified artificial intelligence and cloud-based digital transformation as strategic imperatives to maintain quality care, financial sustainability, and competitive positioning against larger regional health systems.</w:t>
      </w:r>
    </w:p>
    <w:p>
      <w:pPr>
        <w:pBdr>
          <w:bottom w:val="single" w:color="2E75B6" w:sz="4" w:space="1"/>
        </w:pBdr>
        <w:spacing w:after="120" w:before="120"/>
      </w:pPr>
    </w:p>
    <w:p>
      <w:pPr>
        <w:pStyle w:val="Heading1"/>
        <w:spacing w:after="120" w:before="360"/>
      </w:pPr>
      <w:r>
        <w:rPr>
          <w:rFonts w:ascii="Arial" w:cs="Arial" w:eastAsia="Arial" w:hAnsi="Arial"/>
          <w:b/>
          <w:bCs/>
          <w:color w:val="1F4E79"/>
          <w:sz w:val="32"/>
          <w:szCs w:val="32"/>
        </w:rPr>
        <w:t xml:space="preserve">2. Three Documented Operational Challenges</w:t>
      </w:r>
    </w:p>
    <w:p>
      <w:pPr>
        <w:pStyle w:val="Heading2"/>
        <w:spacing w:after="80" w:before="240"/>
      </w:pPr>
      <w:r>
        <w:rPr>
          <w:rFonts w:ascii="Arial" w:cs="Arial" w:eastAsia="Arial" w:hAnsi="Arial"/>
          <w:b/>
          <w:bCs/>
          <w:color w:val="2E75B6"/>
          <w:sz w:val="26"/>
          <w:szCs w:val="26"/>
        </w:rPr>
        <w:t xml:space="preserve">Challenge 1: Clinical Documentation Burden</w:t>
      </w:r>
    </w:p>
    <w:p>
      <w:pPr>
        <w:spacing w:after="80" w:before="60"/>
      </w:pPr>
      <w:r>
        <w:rPr>
          <w:rFonts w:ascii="Arial" w:cs="Arial" w:eastAsia="Arial" w:hAnsi="Arial"/>
          <w:sz w:val="22"/>
          <w:szCs w:val="22"/>
        </w:rPr>
        <w:t xml:space="preserve">Physicians and nurses spend an estimated 4.2 hours per 8-hour shift on manual documentation tasks—representing 52.5% of each shift dedicated to administrative work rather than direct patient care. This inefficiency contributes to clinician burnout, with RCH's annual nursing turnover rate reaching 28.4% (national average: 22.7%). The cost of replacing one registered nurse averages $52,000, resulting in an estimated $2.9 million annual expenditure on nursing recruitment and onboarding alone.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468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Current State</w:t>
            </w:r>
          </w:p>
        </w:tc>
      </w:tr>
      <w:tr>
        <w:tc>
          <w:tcPr>
            <w:tcW w:type="dxa" w:w="468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b/>
                <w:bCs/>
                <w:sz w:val="20"/>
                <w:szCs w:val="20"/>
              </w:rPr>
              <w:t xml:space="preserve">Documentation time per shift</w:t>
            </w:r>
          </w:p>
        </w:tc>
        <w:tc>
          <w:tcPr>
            <w:tcW w:type="dxa" w:w="46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4.2 hours (52.5% of shift)</w:t>
            </w:r>
          </w:p>
        </w:tc>
      </w:tr>
      <w:tr>
        <w:tc>
          <w:tcPr>
            <w:tcW w:type="dxa" w:w="46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bCs/>
                <w:sz w:val="20"/>
                <w:szCs w:val="20"/>
              </w:rPr>
              <w:t xml:space="preserve">Annual nurse turnover rate</w:t>
            </w:r>
          </w:p>
        </w:tc>
        <w:tc>
          <w:tcPr>
            <w:tcW w:type="dxa" w:w="46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28.4% vs. 22.7% national avg</w:t>
            </w:r>
          </w:p>
        </w:tc>
      </w:tr>
      <w:tr>
        <w:tc>
          <w:tcPr>
            <w:tcW w:type="dxa" w:w="468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b/>
                <w:bCs/>
                <w:sz w:val="20"/>
                <w:szCs w:val="20"/>
              </w:rPr>
              <w:t xml:space="preserve">Annual recruitment cost</w:t>
            </w:r>
          </w:p>
        </w:tc>
        <w:tc>
          <w:tcPr>
            <w:tcW w:type="dxa" w:w="46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$2.9 million</w:t>
            </w:r>
          </w:p>
        </w:tc>
      </w:tr>
      <w:tr>
        <w:tc>
          <w:tcPr>
            <w:tcW w:type="dxa" w:w="46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bCs/>
                <w:sz w:val="20"/>
                <w:szCs w:val="20"/>
              </w:rPr>
              <w:t xml:space="preserve">Patient-facing care time</w:t>
            </w:r>
          </w:p>
        </w:tc>
        <w:tc>
          <w:tcPr>
            <w:tcW w:type="dxa" w:w="46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3.8 hours per shift</w:t>
            </w:r>
          </w:p>
        </w:tc>
      </w:tr>
    </w:tbl>
    <w:p>
      <w:pPr>
        <w:spacing w:after="80" w:before="60"/>
      </w:pPr>
      <w:r>
        <w:rPr>
          <w:rFonts w:ascii="Arial" w:cs="Arial" w:eastAsia="Arial" w:hAnsi="Arial"/>
          <w:sz w:val="22"/>
          <w:szCs w:val="22"/>
        </w:rPr>
        <w:t xml:space="preserve"/>
      </w:r>
    </w:p>
    <w:p>
      <w:pPr>
        <w:pStyle w:val="Heading2"/>
        <w:spacing w:after="80" w:before="240"/>
      </w:pPr>
      <w:r>
        <w:rPr>
          <w:rFonts w:ascii="Arial" w:cs="Arial" w:eastAsia="Arial" w:hAnsi="Arial"/>
          <w:b/>
          <w:bCs/>
          <w:color w:val="2E75B6"/>
          <w:sz w:val="26"/>
          <w:szCs w:val="26"/>
        </w:rPr>
        <w:t xml:space="preserve">Challenge 2: Patient No-Show and Appointment Gaps</w:t>
      </w:r>
    </w:p>
    <w:p>
      <w:pPr>
        <w:spacing w:after="80" w:before="60"/>
      </w:pPr>
      <w:r>
        <w:rPr>
          <w:rFonts w:ascii="Arial" w:cs="Arial" w:eastAsia="Arial" w:hAnsi="Arial"/>
          <w:sz w:val="22"/>
          <w:szCs w:val="22"/>
        </w:rPr>
        <w:t xml:space="preserve">RCH's outpatient scheduling system records a 19.3% patient no-show rate across all specialty clinics, resulting in approximately 340 unfilled appointment slots per week. Each unfilled slot represents an average revenue loss of $285, translating to a $5.04 million annual revenue gap. Additionally, the current scheduling process is entirely phone-based, requiring 14 FTE schedulers operating during business hours only, creating access barriers for working-age patients and contributing to delayed care.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468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Current State</w:t>
            </w:r>
          </w:p>
        </w:tc>
      </w:tr>
      <w:tr>
        <w:tc>
          <w:tcPr>
            <w:tcW w:type="dxa" w:w="468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b/>
                <w:bCs/>
                <w:sz w:val="20"/>
                <w:szCs w:val="20"/>
              </w:rPr>
              <w:t xml:space="preserve">No-show rate</w:t>
            </w:r>
          </w:p>
        </w:tc>
        <w:tc>
          <w:tcPr>
            <w:tcW w:type="dxa" w:w="46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19.3% (industry benchmark: 12%)</w:t>
            </w:r>
          </w:p>
        </w:tc>
      </w:tr>
      <w:tr>
        <w:tc>
          <w:tcPr>
            <w:tcW w:type="dxa" w:w="46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bCs/>
                <w:sz w:val="20"/>
                <w:szCs w:val="20"/>
              </w:rPr>
              <w:t xml:space="preserve">Unfilled slots per week</w:t>
            </w:r>
          </w:p>
        </w:tc>
        <w:tc>
          <w:tcPr>
            <w:tcW w:type="dxa" w:w="46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340 appointments</w:t>
            </w:r>
          </w:p>
        </w:tc>
      </w:tr>
      <w:tr>
        <w:tc>
          <w:tcPr>
            <w:tcW w:type="dxa" w:w="468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b/>
                <w:bCs/>
                <w:sz w:val="20"/>
                <w:szCs w:val="20"/>
              </w:rPr>
              <w:t xml:space="preserve">Annual revenue loss</w:t>
            </w:r>
          </w:p>
        </w:tc>
        <w:tc>
          <w:tcPr>
            <w:tcW w:type="dxa" w:w="46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$5.04 million</w:t>
            </w:r>
          </w:p>
        </w:tc>
      </w:tr>
      <w:tr>
        <w:tc>
          <w:tcPr>
            <w:tcW w:type="dxa" w:w="46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bCs/>
                <w:sz w:val="20"/>
                <w:szCs w:val="20"/>
              </w:rPr>
              <w:t xml:space="preserve">Scheduling FTE cost</w:t>
            </w:r>
          </w:p>
        </w:tc>
        <w:tc>
          <w:tcPr>
            <w:tcW w:type="dxa" w:w="46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$840,000 annually</w:t>
            </w:r>
          </w:p>
        </w:tc>
      </w:tr>
    </w:tbl>
    <w:p>
      <w:pPr>
        <w:spacing w:after="80" w:before="60"/>
      </w:pPr>
      <w:r>
        <w:rPr>
          <w:rFonts w:ascii="Arial" w:cs="Arial" w:eastAsia="Arial" w:hAnsi="Arial"/>
          <w:sz w:val="22"/>
          <w:szCs w:val="22"/>
        </w:rPr>
        <w:t xml:space="preserve"/>
      </w:r>
    </w:p>
    <w:p>
      <w:pPr>
        <w:pStyle w:val="Heading2"/>
        <w:spacing w:after="80" w:before="240"/>
      </w:pPr>
      <w:r>
        <w:rPr>
          <w:rFonts w:ascii="Arial" w:cs="Arial" w:eastAsia="Arial" w:hAnsi="Arial"/>
          <w:b/>
          <w:bCs/>
          <w:color w:val="2E75B6"/>
          <w:sz w:val="26"/>
          <w:szCs w:val="26"/>
        </w:rPr>
        <w:t xml:space="preserve">Challenge 3: Fragmented Care Coordination and Data Interoperability</w:t>
      </w:r>
    </w:p>
    <w:p>
      <w:pPr>
        <w:spacing w:after="80" w:before="60"/>
      </w:pPr>
      <w:r>
        <w:rPr>
          <w:rFonts w:ascii="Arial" w:cs="Arial" w:eastAsia="Arial" w:hAnsi="Arial"/>
          <w:sz w:val="22"/>
          <w:szCs w:val="22"/>
        </w:rPr>
        <w:t xml:space="preserve">RCH operates on three separate EHR systems following two prior hospital acquisitions—Epic (main campus), Meditech (north clinic), and Cerner (imaging center)—with no unified patient data exchange. This fragmentation leads to an average of 2.7 redundant diagnostic tests per admission, at a mean cost of $410 per test, generating approximately $1.2 million in unnecessary diagnostic spending annually. Care team communication delays average 47 minutes per care transition, contributing to an average length-of-stay 0.4 days above regional peers.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468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Current State</w:t>
            </w:r>
          </w:p>
        </w:tc>
      </w:tr>
      <w:tr>
        <w:tc>
          <w:tcPr>
            <w:tcW w:type="dxa" w:w="468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b/>
                <w:bCs/>
                <w:sz w:val="20"/>
                <w:szCs w:val="20"/>
              </w:rPr>
              <w:t xml:space="preserve">Redundant tests per admission</w:t>
            </w:r>
          </w:p>
        </w:tc>
        <w:tc>
          <w:tcPr>
            <w:tcW w:type="dxa" w:w="46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2.7 tests ($1.2M annual waste)</w:t>
            </w:r>
          </w:p>
        </w:tc>
      </w:tr>
      <w:tr>
        <w:tc>
          <w:tcPr>
            <w:tcW w:type="dxa" w:w="46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bCs/>
                <w:sz w:val="20"/>
                <w:szCs w:val="20"/>
              </w:rPr>
              <w:t xml:space="preserve">Care transition delay</w:t>
            </w:r>
          </w:p>
        </w:tc>
        <w:tc>
          <w:tcPr>
            <w:tcW w:type="dxa" w:w="46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47 minutes average</w:t>
            </w:r>
          </w:p>
        </w:tc>
      </w:tr>
      <w:tr>
        <w:tc>
          <w:tcPr>
            <w:tcW w:type="dxa" w:w="468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b/>
                <w:bCs/>
                <w:sz w:val="20"/>
                <w:szCs w:val="20"/>
              </w:rPr>
              <w:t xml:space="preserve">Excess length of stay</w:t>
            </w:r>
          </w:p>
        </w:tc>
        <w:tc>
          <w:tcPr>
            <w:tcW w:type="dxa" w:w="46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+0.4 days vs. regional peers</w:t>
            </w:r>
          </w:p>
        </w:tc>
      </w:tr>
      <w:tr>
        <w:tc>
          <w:tcPr>
            <w:tcW w:type="dxa" w:w="46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bCs/>
                <w:sz w:val="20"/>
                <w:szCs w:val="20"/>
              </w:rPr>
              <w:t xml:space="preserve">Number of active EHR systems</w:t>
            </w:r>
          </w:p>
        </w:tc>
        <w:tc>
          <w:tcPr>
            <w:tcW w:type="dxa" w:w="46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3 disconnected platforms</w:t>
            </w:r>
          </w:p>
        </w:tc>
      </w:tr>
    </w:tbl>
    <w:p>
      <w:pPr>
        <w:spacing w:after="80" w:before="60"/>
      </w:pPr>
      <w:r>
        <w:rPr>
          <w:rFonts w:ascii="Arial" w:cs="Arial" w:eastAsia="Arial" w:hAnsi="Arial"/>
          <w:sz w:val="22"/>
          <w:szCs w:val="22"/>
        </w:rPr>
        <w:t xml:space="preserve"/>
      </w:r>
    </w:p>
    <w:p>
      <w:pPr>
        <w:pBdr>
          <w:bottom w:val="single" w:color="2E75B6" w:sz="4" w:space="1"/>
        </w:pBdr>
        <w:spacing w:after="120" w:before="120"/>
      </w:pPr>
    </w:p>
    <w:p>
      <w:pPr>
        <w:pStyle w:val="Heading1"/>
        <w:spacing w:after="120" w:before="360"/>
      </w:pPr>
      <w:r>
        <w:rPr>
          <w:rFonts w:ascii="Arial" w:cs="Arial" w:eastAsia="Arial" w:hAnsi="Arial"/>
          <w:b/>
          <w:bCs/>
          <w:color w:val="1F4E79"/>
          <w:sz w:val="32"/>
          <w:szCs w:val="32"/>
        </w:rPr>
        <w:t xml:space="preserve">3. Azure AI Solution Selections and Integration Strategy</w:t>
      </w:r>
    </w:p>
    <w:p>
      <w:pPr>
        <w:pStyle w:val="Heading2"/>
        <w:spacing w:after="80" w:before="240"/>
      </w:pPr>
      <w:r>
        <w:rPr>
          <w:rFonts w:ascii="Arial" w:cs="Arial" w:eastAsia="Arial" w:hAnsi="Arial"/>
          <w:b/>
          <w:bCs/>
          <w:color w:val="2E75B6"/>
          <w:sz w:val="26"/>
          <w:szCs w:val="26"/>
        </w:rPr>
        <w:t xml:space="preserve">3.1 Azure AI Speech-to-Text + Azure AI Foundry — Clinical Documentation</w:t>
      </w:r>
    </w:p>
    <w:p>
      <w:pPr>
        <w:spacing w:after="80" w:before="60"/>
      </w:pPr>
      <w:r>
        <w:rPr>
          <w:rFonts w:ascii="Arial" w:cs="Arial" w:eastAsia="Arial" w:hAnsi="Arial"/>
          <w:sz w:val="22"/>
          <w:szCs w:val="22"/>
        </w:rPr>
        <w:t xml:space="preserve">Azure AI Speech-to-Text with medical vocabulary models will be deployed as an ambient clinical intelligence solution integrated directly into Epic via SMART on FHIR APIs. Clinicians will use voice capture during patient encounters; AI-generated structured notes will be presented for rapid physician review and one-click attestation. Azure AI Foundry provides the orchestration layer for custom model fine-tuning on RCH's specialty-specific clinical language.</w:t>
      </w:r>
    </w:p>
    <w:p>
      <w:pPr>
        <w:pStyle w:val="ListParagraph"/>
        <w:numPr>
          <w:ilvl w:val="0"/>
          <w:numId w:val="2"/>
        </w:numPr>
        <w:spacing w:after="40" w:before="40"/>
      </w:pPr>
      <w:r>
        <w:rPr>
          <w:rFonts w:ascii="Arial" w:cs="Arial" w:eastAsia="Arial" w:hAnsi="Arial"/>
          <w:sz w:val="22"/>
          <w:szCs w:val="22"/>
        </w:rPr>
        <w:t xml:space="preserve">Integration: SMART on FHIR API bridge between Azure AI and Epic EHR</w:t>
      </w:r>
    </w:p>
    <w:p>
      <w:pPr>
        <w:pStyle w:val="ListParagraph"/>
        <w:numPr>
          <w:ilvl w:val="0"/>
          <w:numId w:val="2"/>
        </w:numPr>
        <w:spacing w:after="40" w:before="40"/>
      </w:pPr>
      <w:r>
        <w:rPr>
          <w:rFonts w:ascii="Arial" w:cs="Arial" w:eastAsia="Arial" w:hAnsi="Arial"/>
          <w:sz w:val="22"/>
          <w:szCs w:val="22"/>
        </w:rPr>
        <w:t xml:space="preserve">Compliance: Azure HIPAA BAA in place; data encrypted at rest (AES-256) and in transit (TLS 1.3)</w:t>
      </w:r>
    </w:p>
    <w:p>
      <w:pPr>
        <w:pStyle w:val="ListParagraph"/>
        <w:numPr>
          <w:ilvl w:val="0"/>
          <w:numId w:val="2"/>
        </w:numPr>
        <w:spacing w:after="40" w:before="40"/>
      </w:pPr>
      <w:r>
        <w:rPr>
          <w:rFonts w:ascii="Arial" w:cs="Arial" w:eastAsia="Arial" w:hAnsi="Arial"/>
          <w:sz w:val="22"/>
          <w:szCs w:val="22"/>
        </w:rPr>
        <w:t xml:space="preserve">Target outcome: Reduce documentation time by 65%, from 4.2 to 1.5 hours per shift</w:t>
      </w:r>
    </w:p>
    <w:p>
      <w:pPr>
        <w:spacing w:after="80" w:before="60"/>
      </w:pPr>
      <w:r>
        <w:rPr>
          <w:rFonts w:ascii="Arial" w:cs="Arial" w:eastAsia="Arial" w:hAnsi="Arial"/>
          <w:sz w:val="22"/>
          <w:szCs w:val="22"/>
        </w:rPr>
        <w:t xml:space="preserve"/>
      </w:r>
    </w:p>
    <w:p>
      <w:pPr>
        <w:pStyle w:val="Heading2"/>
        <w:spacing w:after="80" w:before="240"/>
      </w:pPr>
      <w:r>
        <w:rPr>
          <w:rFonts w:ascii="Arial" w:cs="Arial" w:eastAsia="Arial" w:hAnsi="Arial"/>
          <w:b/>
          <w:bCs/>
          <w:color w:val="2E75B6"/>
          <w:sz w:val="26"/>
          <w:szCs w:val="26"/>
        </w:rPr>
        <w:t xml:space="preserve">3.2 Azure Bot Service + Azure Cognitive Services — Patient Engagement</w:t>
      </w:r>
    </w:p>
    <w:p>
      <w:pPr>
        <w:spacing w:after="80" w:before="60"/>
      </w:pPr>
      <w:r>
        <w:rPr>
          <w:rFonts w:ascii="Arial" w:cs="Arial" w:eastAsia="Arial" w:hAnsi="Arial"/>
          <w:sz w:val="22"/>
          <w:szCs w:val="22"/>
        </w:rPr>
        <w:t xml:space="preserve">An intelligent conversational bot built on Azure Bot Service and powered by Azure Cognitive Services (Language Understanding) will handle appointment scheduling, reminders, pre-visit instructions, and post-discharge follow-up 24/7 across web, SMS, and voice channels. Natural language processing enables the bot to manage appointment cancellations proactively and offer immediate rebooking, directly attacking the no-show problem. Integration with Epic's scheduling API via Microsoft Cloud for Healthcare ensures real-time slot management.</w:t>
      </w:r>
    </w:p>
    <w:p>
      <w:pPr>
        <w:pStyle w:val="ListParagraph"/>
        <w:numPr>
          <w:ilvl w:val="0"/>
          <w:numId w:val="2"/>
        </w:numPr>
        <w:spacing w:after="40" w:before="40"/>
      </w:pPr>
      <w:r>
        <w:rPr>
          <w:rFonts w:ascii="Arial" w:cs="Arial" w:eastAsia="Arial" w:hAnsi="Arial"/>
          <w:sz w:val="22"/>
          <w:szCs w:val="22"/>
        </w:rPr>
        <w:t xml:space="preserve">Integration: Azure Bot Service connected to Epic Scheduling via FHIR R4 APIs</w:t>
      </w:r>
    </w:p>
    <w:p>
      <w:pPr>
        <w:pStyle w:val="ListParagraph"/>
        <w:numPr>
          <w:ilvl w:val="0"/>
          <w:numId w:val="2"/>
        </w:numPr>
        <w:spacing w:after="40" w:before="40"/>
      </w:pPr>
      <w:r>
        <w:rPr>
          <w:rFonts w:ascii="Arial" w:cs="Arial" w:eastAsia="Arial" w:hAnsi="Arial"/>
          <w:sz w:val="22"/>
          <w:szCs w:val="22"/>
        </w:rPr>
        <w:t xml:space="preserve">Channels: Web portal, SMS (Twilio), automated phone call, patient app push notification</w:t>
      </w:r>
    </w:p>
    <w:p>
      <w:pPr>
        <w:pStyle w:val="ListParagraph"/>
        <w:numPr>
          <w:ilvl w:val="0"/>
          <w:numId w:val="2"/>
        </w:numPr>
        <w:spacing w:after="40" w:before="40"/>
      </w:pPr>
      <w:r>
        <w:rPr>
          <w:rFonts w:ascii="Arial" w:cs="Arial" w:eastAsia="Arial" w:hAnsi="Arial"/>
          <w:sz w:val="22"/>
          <w:szCs w:val="22"/>
        </w:rPr>
        <w:t xml:space="preserve">Target outcome: Reduce no-show rate from 19.3% to 11%, recovering $4.2M annual revenue</w:t>
      </w:r>
    </w:p>
    <w:p>
      <w:pPr>
        <w:spacing w:after="80" w:before="60"/>
      </w:pPr>
      <w:r>
        <w:rPr>
          <w:rFonts w:ascii="Arial" w:cs="Arial" w:eastAsia="Arial" w:hAnsi="Arial"/>
          <w:sz w:val="22"/>
          <w:szCs w:val="22"/>
        </w:rPr>
        <w:t xml:space="preserve"/>
      </w:r>
    </w:p>
    <w:p>
      <w:pPr>
        <w:pStyle w:val="Heading2"/>
        <w:spacing w:after="80" w:before="240"/>
      </w:pPr>
      <w:r>
        <w:rPr>
          <w:rFonts w:ascii="Arial" w:cs="Arial" w:eastAsia="Arial" w:hAnsi="Arial"/>
          <w:b/>
          <w:bCs/>
          <w:color w:val="2E75B6"/>
          <w:sz w:val="26"/>
          <w:szCs w:val="26"/>
        </w:rPr>
        <w:t xml:space="preserve">3.3 Azure Health Data Services (FHIR) — Care Coordination and Interoperability</w:t>
      </w:r>
    </w:p>
    <w:p>
      <w:pPr>
        <w:spacing w:after="80" w:before="60"/>
      </w:pPr>
      <w:r>
        <w:rPr>
          <w:rFonts w:ascii="Arial" w:cs="Arial" w:eastAsia="Arial" w:hAnsi="Arial"/>
          <w:sz w:val="22"/>
          <w:szCs w:val="22"/>
        </w:rPr>
        <w:t xml:space="preserve">Azure Health Data Services with native FHIR R4 support will serve as the unified health data platform connecting Epic, Meditech, and Cerner through standardized HL7 FHIR APIs. This creates a longitudinal patient record accessible to all care team members regardless of their native EHR system. Microsoft Teams healthcare templates and care coordination workflows will be built atop this unified data layer to streamline transitions of care.</w:t>
      </w:r>
    </w:p>
    <w:p>
      <w:pPr>
        <w:pStyle w:val="ListParagraph"/>
        <w:numPr>
          <w:ilvl w:val="0"/>
          <w:numId w:val="2"/>
        </w:numPr>
        <w:spacing w:after="40" w:before="40"/>
      </w:pPr>
      <w:r>
        <w:rPr>
          <w:rFonts w:ascii="Arial" w:cs="Arial" w:eastAsia="Arial" w:hAnsi="Arial"/>
          <w:sz w:val="22"/>
          <w:szCs w:val="22"/>
        </w:rPr>
        <w:t xml:space="preserve">Integration: FHIR facades deployed for Meditech and Cerner; Epic FHIR APIs native</w:t>
      </w:r>
    </w:p>
    <w:p>
      <w:pPr>
        <w:pStyle w:val="ListParagraph"/>
        <w:numPr>
          <w:ilvl w:val="0"/>
          <w:numId w:val="2"/>
        </w:numPr>
        <w:spacing w:after="40" w:before="40"/>
      </w:pPr>
      <w:r>
        <w:rPr>
          <w:rFonts w:ascii="Arial" w:cs="Arial" w:eastAsia="Arial" w:hAnsi="Arial"/>
          <w:sz w:val="22"/>
          <w:szCs w:val="22"/>
        </w:rPr>
        <w:t xml:space="preserve">Microsoft Teams for Healthcare: Secure messaging, virtual rounds, task assignment</w:t>
      </w:r>
    </w:p>
    <w:p>
      <w:pPr>
        <w:pStyle w:val="ListParagraph"/>
        <w:numPr>
          <w:ilvl w:val="0"/>
          <w:numId w:val="2"/>
        </w:numPr>
        <w:spacing w:after="40" w:before="40"/>
      </w:pPr>
      <w:r>
        <w:rPr>
          <w:rFonts w:ascii="Arial" w:cs="Arial" w:eastAsia="Arial" w:hAnsi="Arial"/>
          <w:sz w:val="22"/>
          <w:szCs w:val="22"/>
        </w:rPr>
        <w:t xml:space="preserve">Target outcome: Eliminate redundant testing ($1.2M savings), reduce transition delays by 60%</w:t>
      </w:r>
    </w:p>
    <w:p>
      <w:pPr>
        <w:spacing w:after="80" w:before="60"/>
      </w:pPr>
      <w:r>
        <w:rPr>
          <w:rFonts w:ascii="Arial" w:cs="Arial" w:eastAsia="Arial" w:hAnsi="Arial"/>
          <w:sz w:val="22"/>
          <w:szCs w:val="22"/>
        </w:rPr>
        <w:t xml:space="preserve"/>
      </w:r>
    </w:p>
    <w:p>
      <w:pPr>
        <w:pBdr>
          <w:bottom w:val="single" w:color="2E75B6" w:sz="4" w:space="1"/>
        </w:pBdr>
        <w:spacing w:after="120" w:before="120"/>
      </w:pPr>
    </w:p>
    <w:p>
      <w:pPr>
        <w:pStyle w:val="Heading1"/>
        <w:spacing w:after="120" w:before="360"/>
      </w:pPr>
      <w:r>
        <w:rPr>
          <w:rFonts w:ascii="Arial" w:cs="Arial" w:eastAsia="Arial" w:hAnsi="Arial"/>
          <w:b/>
          <w:bCs/>
          <w:color w:val="1F4E79"/>
          <w:sz w:val="32"/>
          <w:szCs w:val="32"/>
        </w:rPr>
        <w:t xml:space="preserve">4. 18-Month Phased Implementation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60"/>
        <w:gridCol w:w="3000"/>
        <w:gridCol w:w="3000"/>
      </w:tblGrid>
      <w:tr>
        <w:tc>
          <w:tcPr>
            <w:tcW w:type="dxa" w:w="18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Phase</w:t>
            </w:r>
          </w:p>
        </w:tc>
        <w:tc>
          <w:tcPr>
            <w:tcW w:type="dxa" w:w="15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Timeline</w:t>
            </w:r>
          </w:p>
        </w:tc>
        <w:tc>
          <w:tcPr>
            <w:tcW w:type="dxa" w:w="30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Key Activities</w:t>
            </w:r>
          </w:p>
        </w:tc>
        <w:tc>
          <w:tcPr>
            <w:tcW w:type="dxa" w:w="30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Success Metrics</w:t>
            </w:r>
          </w:p>
        </w:tc>
      </w:tr>
      <w:tr>
        <w:tc>
          <w:tcPr>
            <w:tcW w:type="dxa" w:w="18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Phase 1
PILOT</w:t>
            </w:r>
          </w:p>
        </w:tc>
        <w:tc>
          <w:tcPr>
            <w:tcW w:type="dxa" w:w="156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sz w:val="20"/>
                <w:szCs w:val="20"/>
              </w:rPr>
              <w:t xml:space="preserve">Months
1–3</w:t>
            </w:r>
          </w:p>
        </w:tc>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Azure FHIR environment setup; Epic integration testing; Azure Bot pilot in 2 clinics; AI documentation pilot with 20 volunteers; staff training baseline; AI ethics committee formation; bias audit framework initiated</w:t>
            </w:r>
          </w:p>
        </w:tc>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95% FHIR data mapping accuracy; Bot handles 200+ interactions/week; Clinician satisfaction &gt;3.5/5; Zero HIPAA incidents</w:t>
            </w:r>
          </w:p>
        </w:tc>
      </w:tr>
      <w:tr>
        <w:tc>
          <w:tcPr>
            <w:tcW w:type="dxa" w:w="18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Phase 2
ROLLOUT</w:t>
            </w:r>
          </w:p>
        </w:tc>
        <w:tc>
          <w:tcPr>
            <w:tcW w:type="dxa" w:w="156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sz w:val="20"/>
                <w:szCs w:val="20"/>
              </w:rPr>
              <w:t xml:space="preserve">Months
4–12</w:t>
            </w:r>
          </w:p>
        </w:tc>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Full FHIR deployment across all 3 EHR systems; Bot live on all channels; AI documentation expanded hospital-wide; Microsoft Teams care coordination workflows deployed; DICOM-Azure integration for imaging; ongoing bias monitoring; clinician change management program</w:t>
            </w:r>
          </w:p>
        </w:tc>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No-show rate &lt;13%; Documentation time reduced 50%; Care transition delays &lt;25 min; Teams adoption &gt;80%; Redundant tests reduced 40%</w:t>
            </w:r>
          </w:p>
        </w:tc>
      </w:tr>
      <w:tr>
        <w:tc>
          <w:tcPr>
            <w:tcW w:type="dxa" w:w="18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Phase 3
OPTIMIZATION</w:t>
            </w:r>
          </w:p>
        </w:tc>
        <w:tc>
          <w:tcPr>
            <w:tcW w:type="dxa" w:w="156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sz w:val="20"/>
                <w:szCs w:val="20"/>
              </w:rPr>
              <w:t xml:space="preserve">Months
13–18</w:t>
            </w:r>
          </w:p>
        </w:tc>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Azure AI Foundry model fine-tuning on RCH data; predictive analytics for readmissions; advanced patient risk stratification; ROI analysis; responsible AI annual audit; expansion planning to affiliated clinics</w:t>
            </w:r>
          </w:p>
        </w:tc>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No-show rate &lt;11%; Documentation time reduced 65%; $6.5M annual benefit realized; Patient satisfaction HCAHPS +8 pts; Staff turnover reduced 15%</w:t>
            </w:r>
          </w:p>
        </w:tc>
      </w:tr>
    </w:tbl>
    <w:p>
      <w:pPr>
        <w:spacing w:after="80" w:before="60"/>
      </w:pPr>
      <w:r>
        <w:rPr>
          <w:rFonts w:ascii="Arial" w:cs="Arial" w:eastAsia="Arial" w:hAnsi="Arial"/>
          <w:sz w:val="22"/>
          <w:szCs w:val="22"/>
        </w:rPr>
        <w:t xml:space="preserve"/>
      </w:r>
    </w:p>
    <w:p>
      <w:pPr>
        <w:pBdr>
          <w:bottom w:val="single" w:color="2E75B6" w:sz="4" w:space="1"/>
        </w:pBdr>
        <w:spacing w:after="120" w:before="120"/>
      </w:pPr>
    </w:p>
    <w:p>
      <w:pPr>
        <w:pStyle w:val="Heading1"/>
        <w:spacing w:after="120" w:before="360"/>
      </w:pPr>
      <w:r>
        <w:rPr>
          <w:rFonts w:ascii="Arial" w:cs="Arial" w:eastAsia="Arial" w:hAnsi="Arial"/>
          <w:b/>
          <w:bCs/>
          <w:color w:val="1F4E79"/>
          <w:sz w:val="32"/>
          <w:szCs w:val="32"/>
        </w:rPr>
        <w:t xml:space="preserve">5. Patient Engagement and Care Team Collaboration</w:t>
      </w:r>
    </w:p>
    <w:p>
      <w:pPr>
        <w:pStyle w:val="Heading2"/>
        <w:spacing w:after="80" w:before="240"/>
      </w:pPr>
      <w:r>
        <w:rPr>
          <w:rFonts w:ascii="Arial" w:cs="Arial" w:eastAsia="Arial" w:hAnsi="Arial"/>
          <w:b/>
          <w:bCs/>
          <w:color w:val="2E75B6"/>
          <w:sz w:val="26"/>
          <w:szCs w:val="26"/>
        </w:rPr>
        <w:t xml:space="preserve">5.1 Patient Engagement Strategy</w:t>
      </w:r>
    </w:p>
    <w:p>
      <w:pPr>
        <w:spacing w:after="80" w:before="60"/>
      </w:pPr>
      <w:r>
        <w:rPr>
          <w:rFonts w:ascii="Arial" w:cs="Arial" w:eastAsia="Arial" w:hAnsi="Arial"/>
          <w:sz w:val="22"/>
          <w:szCs w:val="22"/>
        </w:rPr>
        <w:t xml:space="preserve">The Azure Bot Service deployment will create a continuous digital care relationship with patients. Pre-visit, the bot sends appointment reminders 7 days, 3 days, and 24 hours in advance with one-tap confirmation or rescheduling. During care transitions, automated discharge instructions, medication reminders, and follow-up scheduling occur within 2 hours of discharge. Azure Cognitive Services enables the bot to communicate in the patient's preferred language, supporting RCH's diverse patient population including Spanish and Vietnamese speakers.</w:t>
      </w:r>
    </w:p>
    <w:p>
      <w:pPr>
        <w:pStyle w:val="ListParagraph"/>
        <w:numPr>
          <w:ilvl w:val="0"/>
          <w:numId w:val="2"/>
        </w:numPr>
        <w:spacing w:after="40" w:before="40"/>
      </w:pPr>
      <w:r>
        <w:rPr>
          <w:rFonts w:ascii="Arial" w:cs="Arial" w:eastAsia="Arial" w:hAnsi="Arial"/>
          <w:sz w:val="22"/>
          <w:szCs w:val="22"/>
        </w:rPr>
        <w:t xml:space="preserve">Patient portal integration: MyChart-connected bot for seamless EHR-linked communication</w:t>
      </w:r>
    </w:p>
    <w:p>
      <w:pPr>
        <w:pStyle w:val="ListParagraph"/>
        <w:numPr>
          <w:ilvl w:val="0"/>
          <w:numId w:val="2"/>
        </w:numPr>
        <w:spacing w:after="40" w:before="40"/>
      </w:pPr>
      <w:r>
        <w:rPr>
          <w:rFonts w:ascii="Arial" w:cs="Arial" w:eastAsia="Arial" w:hAnsi="Arial"/>
          <w:sz w:val="22"/>
          <w:szCs w:val="22"/>
        </w:rPr>
        <w:t xml:space="preserve">Remote patient monitoring: Azure IoT integration for chronic disease management alerts</w:t>
      </w:r>
    </w:p>
    <w:p>
      <w:pPr>
        <w:pStyle w:val="ListParagraph"/>
        <w:numPr>
          <w:ilvl w:val="0"/>
          <w:numId w:val="2"/>
        </w:numPr>
        <w:spacing w:after="40" w:before="40"/>
      </w:pPr>
      <w:r>
        <w:rPr>
          <w:rFonts w:ascii="Arial" w:cs="Arial" w:eastAsia="Arial" w:hAnsi="Arial"/>
          <w:sz w:val="22"/>
          <w:szCs w:val="22"/>
        </w:rPr>
        <w:t xml:space="preserve">Health literacy support: Plain-language AI summaries of visit notes and lab results</w:t>
      </w:r>
    </w:p>
    <w:p>
      <w:pPr>
        <w:spacing w:after="80" w:before="60"/>
      </w:pPr>
      <w:r>
        <w:rPr>
          <w:rFonts w:ascii="Arial" w:cs="Arial" w:eastAsia="Arial" w:hAnsi="Arial"/>
          <w:sz w:val="22"/>
          <w:szCs w:val="22"/>
        </w:rPr>
        <w:t xml:space="preserve"/>
      </w:r>
    </w:p>
    <w:p>
      <w:pPr>
        <w:pStyle w:val="Heading2"/>
        <w:spacing w:after="80" w:before="240"/>
      </w:pPr>
      <w:r>
        <w:rPr>
          <w:rFonts w:ascii="Arial" w:cs="Arial" w:eastAsia="Arial" w:hAnsi="Arial"/>
          <w:b/>
          <w:bCs/>
          <w:color w:val="2E75B6"/>
          <w:sz w:val="26"/>
          <w:szCs w:val="26"/>
        </w:rPr>
        <w:t xml:space="preserve">5.2 Care Team Collaboration Strategy</w:t>
      </w:r>
    </w:p>
    <w:p>
      <w:pPr>
        <w:spacing w:after="80" w:before="60"/>
      </w:pPr>
      <w:r>
        <w:rPr>
          <w:rFonts w:ascii="Arial" w:cs="Arial" w:eastAsia="Arial" w:hAnsi="Arial"/>
          <w:sz w:val="22"/>
          <w:szCs w:val="22"/>
        </w:rPr>
        <w:t xml:space="preserve">Microsoft Teams for Healthcare serves as the unified care team workspace, replacing fragmented phone and paging workflows. Specialty-specific team channels align with care pathways (e.g., Cardiology, Post-Surgical, ED). Secure messaging with read receipts replaces alpha paging for non-emergent clinical communication. Virtual multidisciplinary rounds are conducted via Teams video for patients requiring input from multiple specialties, reducing in-person coordination delays.</w:t>
      </w:r>
    </w:p>
    <w:p>
      <w:pPr>
        <w:pStyle w:val="ListParagraph"/>
        <w:numPr>
          <w:ilvl w:val="0"/>
          <w:numId w:val="2"/>
        </w:numPr>
        <w:spacing w:after="40" w:before="40"/>
      </w:pPr>
      <w:r>
        <w:rPr>
          <w:rFonts w:ascii="Arial" w:cs="Arial" w:eastAsia="Arial" w:hAnsi="Arial"/>
          <w:sz w:val="22"/>
          <w:szCs w:val="22"/>
        </w:rPr>
        <w:t xml:space="preserve">Teams integration with Azure Health Data Services: Patient context cards visible in Teams threads</w:t>
      </w:r>
    </w:p>
    <w:p>
      <w:pPr>
        <w:pStyle w:val="ListParagraph"/>
        <w:numPr>
          <w:ilvl w:val="0"/>
          <w:numId w:val="2"/>
        </w:numPr>
        <w:spacing w:after="40" w:before="40"/>
      </w:pPr>
      <w:r>
        <w:rPr>
          <w:rFonts w:ascii="Arial" w:cs="Arial" w:eastAsia="Arial" w:hAnsi="Arial"/>
          <w:sz w:val="22"/>
          <w:szCs w:val="22"/>
        </w:rPr>
        <w:t xml:space="preserve">Shift handoff automation: AI-generated handoff summaries populated from EHR data</w:t>
      </w:r>
    </w:p>
    <w:p>
      <w:pPr>
        <w:pStyle w:val="ListParagraph"/>
        <w:numPr>
          <w:ilvl w:val="0"/>
          <w:numId w:val="2"/>
        </w:numPr>
        <w:spacing w:after="40" w:before="40"/>
      </w:pPr>
      <w:r>
        <w:rPr>
          <w:rFonts w:ascii="Arial" w:cs="Arial" w:eastAsia="Arial" w:hAnsi="Arial"/>
          <w:sz w:val="22"/>
          <w:szCs w:val="22"/>
        </w:rPr>
        <w:t xml:space="preserve">Task management: Clinical task boards with priority tagging and audit trails</w:t>
      </w:r>
    </w:p>
    <w:p>
      <w:pPr>
        <w:spacing w:after="80" w:before="60"/>
      </w:pPr>
      <w:r>
        <w:rPr>
          <w:rFonts w:ascii="Arial" w:cs="Arial" w:eastAsia="Arial" w:hAnsi="Arial"/>
          <w:sz w:val="22"/>
          <w:szCs w:val="22"/>
        </w:rPr>
        <w:t xml:space="preserve"/>
      </w:r>
    </w:p>
    <w:p>
      <w:pPr>
        <w:pStyle w:val="Heading2"/>
        <w:spacing w:after="80" w:before="240"/>
      </w:pPr>
      <w:r>
        <w:rPr>
          <w:rFonts w:ascii="Arial" w:cs="Arial" w:eastAsia="Arial" w:hAnsi="Arial"/>
          <w:b/>
          <w:bCs/>
          <w:color w:val="2E75B6"/>
          <w:sz w:val="26"/>
          <w:szCs w:val="26"/>
        </w:rPr>
        <w:t xml:space="preserve">5.3 Change Management Approach</w:t>
      </w:r>
    </w:p>
    <w:p>
      <w:pPr>
        <w:spacing w:after="80" w:before="60"/>
      </w:pPr>
      <w:r>
        <w:rPr>
          <w:rFonts w:ascii="Arial" w:cs="Arial" w:eastAsia="Arial" w:hAnsi="Arial"/>
          <w:sz w:val="22"/>
          <w:szCs w:val="22"/>
        </w:rPr>
        <w:t xml:space="preserve">A structured ADKAR change management model (Awareness, Desire, Knowledge, Ability, Reinforcement) will guide adoption. Clinical champions from nursing, physician, and administrative groups will be recruited in Month 1. Tiered training curricula—16-hour foundational, 8-hour role-specific, and 4-hour refresher—will be delivered through a blended learning approach combining in-person simulation labs and self-paced Microsoft Learn modules. A dedicated AI Adoption Help Desk will provide real-time support during Phase 2 rollout.</w:t>
      </w:r>
    </w:p>
    <w:p>
      <w:pPr>
        <w:pBdr>
          <w:bottom w:val="single" w:color="2E75B6" w:sz="4" w:space="1"/>
        </w:pBdr>
        <w:spacing w:after="120" w:before="120"/>
      </w:pPr>
    </w:p>
    <w:p>
      <w:pPr>
        <w:pStyle w:val="Heading1"/>
        <w:spacing w:after="120" w:before="360"/>
      </w:pPr>
      <w:r>
        <w:rPr>
          <w:rFonts w:ascii="Arial" w:cs="Arial" w:eastAsia="Arial" w:hAnsi="Arial"/>
          <w:b/>
          <w:bCs/>
          <w:color w:val="1F4E79"/>
          <w:sz w:val="32"/>
          <w:szCs w:val="32"/>
        </w:rPr>
        <w:t xml:space="preserve">6. Responsible AI Governance Framework</w:t>
      </w:r>
    </w:p>
    <w:p>
      <w:pPr>
        <w:pStyle w:val="Heading2"/>
        <w:spacing w:after="80" w:before="240"/>
      </w:pPr>
      <w:r>
        <w:rPr>
          <w:rFonts w:ascii="Arial" w:cs="Arial" w:eastAsia="Arial" w:hAnsi="Arial"/>
          <w:b/>
          <w:bCs/>
          <w:color w:val="2E75B6"/>
          <w:sz w:val="26"/>
          <w:szCs w:val="26"/>
        </w:rPr>
        <w:t xml:space="preserve">6.1 Ethics Review Process</w:t>
      </w:r>
    </w:p>
    <w:p>
      <w:pPr>
        <w:spacing w:after="80" w:before="60"/>
      </w:pPr>
      <w:r>
        <w:rPr>
          <w:rFonts w:ascii="Arial" w:cs="Arial" w:eastAsia="Arial" w:hAnsi="Arial"/>
          <w:sz w:val="22"/>
          <w:szCs w:val="22"/>
        </w:rPr>
        <w:t xml:space="preserve">An AI Ethics Committee comprising the Chief Medical Officer, Chief Nursing Officer, Chief Privacy Officer, a patient advocate, and an external AI ethics consultant will convene quarterly to review all AI system performance reports. All AI tools deployed at RCH must pass a pre-deployment Algorithmic Impact Assessment evaluating fairness, transparency, accountability, and privacy implications consistent with Microsoft's Responsible AI framework principles.</w:t>
      </w:r>
    </w:p>
    <w:p>
      <w:pPr>
        <w:pStyle w:val="Heading2"/>
        <w:spacing w:after="80" w:before="240"/>
      </w:pPr>
      <w:r>
        <w:rPr>
          <w:rFonts w:ascii="Arial" w:cs="Arial" w:eastAsia="Arial" w:hAnsi="Arial"/>
          <w:b/>
          <w:bCs/>
          <w:color w:val="2E75B6"/>
          <w:sz w:val="26"/>
          <w:szCs w:val="26"/>
        </w:rPr>
        <w:t xml:space="preserve">6.2 Bias Monitoring and Audit Procedures</w:t>
      </w:r>
    </w:p>
    <w:p>
      <w:pPr>
        <w:spacing w:after="80" w:before="60"/>
      </w:pPr>
      <w:r>
        <w:rPr>
          <w:rFonts w:ascii="Arial" w:cs="Arial" w:eastAsia="Arial" w:hAnsi="Arial"/>
          <w:sz w:val="22"/>
          <w:szCs w:val="22"/>
        </w:rPr>
        <w:t xml:space="preserve">Monthly automated bias reports will analyze AI system outputs disaggregated by patient demographics including race, age, gender, and payer type. Azure Machine Learning's fairness assessment tools will flag statistical disparities exceeding a 5% threshold for immediate Ethics Committee review. Annual third-party audits will independently validate AI performance and fairness metrics. All audit findings, including adverse findings, will be disclosed in RCH's Annual Quality Report.</w:t>
      </w:r>
    </w:p>
    <w:p>
      <w:pPr>
        <w:pStyle w:val="Heading2"/>
        <w:spacing w:after="80" w:before="240"/>
      </w:pPr>
      <w:r>
        <w:rPr>
          <w:rFonts w:ascii="Arial" w:cs="Arial" w:eastAsia="Arial" w:hAnsi="Arial"/>
          <w:b/>
          <w:bCs/>
          <w:color w:val="2E75B6"/>
          <w:sz w:val="26"/>
          <w:szCs w:val="26"/>
        </w:rPr>
        <w:t xml:space="preserve">6.3 Incident Response Protocol</w:t>
      </w:r>
    </w:p>
    <w:p>
      <w:pPr>
        <w:spacing w:after="80" w:before="60"/>
      </w:pPr>
      <w:r>
        <w:rPr>
          <w:rFonts w:ascii="Arial" w:cs="Arial" w:eastAsia="Arial" w:hAnsi="Arial"/>
          <w:sz w:val="22"/>
          <w:szCs w:val="22"/>
        </w:rPr>
        <w:t xml:space="preserve">A three-tier incident classification system governs AI-related adverse events: Tier 1 (minor anomaly)—automatic logging, IT team review within 24 hours; Tier 2 (clinical concern)—system suspension, clinical leadership notification within 2 hours, root-cause analysis within 72 hours; Tier 3 (patient safety risk)—immediate system shutdown, incident command activation, regulatory notification within 24 hours per applicable HIPAA Breach Notification Rule requirements.</w:t>
      </w:r>
    </w:p>
    <w:p>
      <w:pPr>
        <w:pStyle w:val="Heading2"/>
        <w:spacing w:after="80" w:before="240"/>
      </w:pPr>
      <w:r>
        <w:rPr>
          <w:rFonts w:ascii="Arial" w:cs="Arial" w:eastAsia="Arial" w:hAnsi="Arial"/>
          <w:b/>
          <w:bCs/>
          <w:color w:val="2E75B6"/>
          <w:sz w:val="26"/>
          <w:szCs w:val="26"/>
        </w:rPr>
        <w:t xml:space="preserve">6.4 Continuous Improvement</w:t>
      </w:r>
    </w:p>
    <w:p>
      <w:pPr>
        <w:spacing w:after="80" w:before="60"/>
      </w:pPr>
      <w:r>
        <w:rPr>
          <w:rFonts w:ascii="Arial" w:cs="Arial" w:eastAsia="Arial" w:hAnsi="Arial"/>
          <w:sz w:val="22"/>
          <w:szCs w:val="22"/>
        </w:rPr>
        <w:t xml:space="preserve">Model retraining cycles will occur semi-annually using curated RCH clinical data reviewed by physician specialists for accuracy and appropriateness. A Patient AI Advisory Panel of five community members will provide lived-experience feedback annually. All AI improvements and version changes will be logged in a transparent model registry accessible to the Ethics Committee and available to regulators upon request.</w:t>
      </w:r>
    </w:p>
    <w:p>
      <w:pPr>
        <w:pBdr>
          <w:bottom w:val="single" w:color="2E75B6" w:sz="4" w:space="1"/>
        </w:pBdr>
        <w:spacing w:after="120" w:before="120"/>
      </w:pPr>
    </w:p>
    <w:p>
      <w:pPr>
        <w:spacing w:after="0" w:before="240"/>
        <w:jc w:val="center"/>
      </w:pPr>
      <w:r>
        <w:rPr>
          <w:rFonts w:ascii="Arial" w:cs="Arial" w:eastAsia="Arial" w:hAnsi="Arial"/>
          <w:i/>
          <w:iCs/>
          <w:color w:val="888888"/>
          <w:sz w:val="20"/>
          <w:szCs w:val="20"/>
        </w:rPr>
        <w:t xml:space="preserve">— END OF STRATEGIC PROPOSAL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pPr>
    <w:r>
      <w:rPr>
        <w:rFonts w:ascii="Arial" w:cs="Arial" w:eastAsia="Arial" w:hAnsi="Arial"/>
        <w:color w:val="666666"/>
        <w:sz w:val="18"/>
        <w:szCs w:val="18"/>
      </w:rPr>
      <w:t xml:space="preserve">Azure AI Healthcare Transformation Initiative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tabs>
        <w:tab w:val="right" w:pos="9360"/>
      </w:tabs>
    </w:pPr>
    <w:r>
      <w:rPr>
        <w:rFonts w:ascii="Arial" w:cs="Arial" w:eastAsia="Arial" w:hAnsi="Arial"/>
        <w:color w:val="666666"/>
        <w:sz w:val="18"/>
        <w:szCs w:val="18"/>
      </w:rPr>
      <w:t xml:space="preserve">RIVERSIDE COMMUNITY HOSPITAL  |  Strategic AI Proposal</w:t>
    </w:r>
    <w:r>
      <w:rPr>
        <w:sz w:val="18"/>
        <w:szCs w:val="18"/>
      </w:rPr>
      <w:t xml:space="preserve">	</w:t>
    </w:r>
    <w:r>
      <w:rPr>
        <w:rFonts w:ascii="Arial" w:cs="Arial" w:eastAsia="Arial" w:hAnsi="Arial"/>
        <w:b/>
        <w:bCs/>
        <w:color w:val="2E75B6"/>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2026-03-26T08:24:41.233Z</dcterms:created>
  <dcterms:modified xsi:type="dcterms:W3CDTF">2026-03-26T08:24:41.234Z</dcterms:modified>
</cp:coreProperties>
</file>

<file path=docProps/custom.xml><?xml version="1.0" encoding="utf-8"?>
<Properties xmlns="http://schemas.openxmlformats.org/officeDocument/2006/custom-properties" xmlns:vt="http://schemas.openxmlformats.org/officeDocument/2006/docPropsVTypes"/>
</file>