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3864"/>
          <w:sz w:val="48"/>
          <w:szCs w:val="48"/>
        </w:rPr>
        <w:t xml:space="preserve">Clinical Documentation Workflow Design</w:t>
      </w:r>
    </w:p>
    <w:p>
      <w:pPr>
        <w:spacing w:after="400"/>
        <w:jc w:val="center"/>
      </w:pPr>
      <w:r>
        <w:rPr>
          <w:rFonts w:ascii="Arial" w:cs="Arial" w:eastAsia="Arial" w:hAnsi="Arial"/>
          <w:color w:val="555555"/>
          <w:sz w:val="22"/>
          <w:szCs w:val="22"/>
        </w:rPr>
        <w:t xml:space="preserve">AI-Powered Healthcare Automation System  |  Emergency Department Focus</w:t>
      </w:r>
    </w:p>
    <w:p>
      <w:pPr>
        <w:pStyle w:val="Heading1"/>
      </w:pPr>
      <w:r>
        <w:rPr>
          <w:rFonts w:ascii="Arial" w:cs="Arial" w:eastAsia="Arial" w:hAnsi="Arial"/>
          <w:b/>
          <w:bCs/>
          <w:color w:val="1F3864"/>
          <w:sz w:val="32"/>
          <w:szCs w:val="32"/>
        </w:rPr>
        <w:t xml:space="preserve">1. Current State Analysis</w:t>
      </w:r>
    </w:p>
    <w:p>
      <w:pPr>
        <w:pStyle w:val="Heading2"/>
      </w:pPr>
      <w:r>
        <w:rPr>
          <w:rFonts w:ascii="Arial" w:cs="Arial" w:eastAsia="Arial" w:hAnsi="Arial"/>
          <w:b/>
          <w:bCs/>
          <w:color w:val="2E75B6"/>
          <w:sz w:val="26"/>
          <w:szCs w:val="26"/>
        </w:rPr>
        <w:t xml:space="preserve">1.1 Selected Workflow: Emergency Department Triage and Documentation</w:t>
      </w:r>
    </w:p>
    <w:p>
      <w:pPr>
        <w:spacing w:after="120"/>
      </w:pPr>
      <w:r>
        <w:rPr>
          <w:rFonts w:ascii="Arial" w:cs="Arial" w:eastAsia="Arial" w:hAnsi="Arial"/>
          <w:sz w:val="22"/>
          <w:szCs w:val="22"/>
        </w:rPr>
        <w:t xml:space="preserve">The Emergency Department (ED) at our healthcare facility currently manages approximately 200 patient visits per day. Clinical staff — including attending physicians, residents, and nurses — spend a disproportionate amount of time on documentation tasks rather than direct patient care. Based on workflow time studies, physicians average 4.5 hours per 10-hour shift on documentation activities, representing 45% of total working time.</w:t>
      </w:r>
    </w:p>
    <w:p>
      <w:pPr>
        <w:spacing w:after="100"/>
      </w:pPr>
      <w:r>
        <w:t xml:space="preserve"/>
      </w:r>
    </w:p>
    <w:p>
      <w:pPr>
        <w:pStyle w:val="Heading3"/>
      </w:pPr>
      <w:r>
        <w:rPr>
          <w:rFonts w:ascii="Arial" w:cs="Arial" w:eastAsia="Arial" w:hAnsi="Arial"/>
          <w:b/>
          <w:bCs/>
          <w:color w:val="404040"/>
          <w:sz w:val="24"/>
          <w:szCs w:val="24"/>
        </w:rPr>
        <w:t xml:space="preserve">Identified Pain Points and Inefficiencies</w:t>
      </w:r>
    </w:p>
    <w:p>
      <w:pPr>
        <w:pStyle w:val="ListParagraph"/>
        <w:numPr>
          <w:ilvl w:val="0"/>
          <w:numId w:val="2"/>
        </w:numPr>
        <w:spacing w:after="80"/>
      </w:pPr>
      <w:r>
        <w:rPr>
          <w:rFonts w:ascii="Arial" w:cs="Arial" w:eastAsia="Arial" w:hAnsi="Arial"/>
          <w:sz w:val="22"/>
          <w:szCs w:val="22"/>
        </w:rPr>
        <w:t xml:space="preserve">Manual Transcription Burden: Physicians dictate notes after patient encounters, requiring a separate transcription step. Transcription turnaround averages 4–6 hours, delaying billing and downstream care coordination.</w:t>
      </w:r>
    </w:p>
    <w:p>
      <w:pPr>
        <w:pStyle w:val="ListParagraph"/>
        <w:numPr>
          <w:ilvl w:val="0"/>
          <w:numId w:val="2"/>
        </w:numPr>
        <w:spacing w:after="80"/>
      </w:pPr>
      <w:r>
        <w:rPr>
          <w:rFonts w:ascii="Arial" w:cs="Arial" w:eastAsia="Arial" w:hAnsi="Arial"/>
          <w:sz w:val="22"/>
          <w:szCs w:val="22"/>
        </w:rPr>
        <w:t xml:space="preserve">Fragmented Documentation: Clinical findings, medication orders, and assessment notes are recorded across multiple systems — the EHR, paper logs, and verbal handoffs — creating data silos and risk of information loss.</w:t>
      </w:r>
    </w:p>
    <w:p>
      <w:pPr>
        <w:pStyle w:val="ListParagraph"/>
        <w:numPr>
          <w:ilvl w:val="0"/>
          <w:numId w:val="2"/>
        </w:numPr>
        <w:spacing w:after="80"/>
      </w:pPr>
      <w:r>
        <w:rPr>
          <w:rFonts w:ascii="Arial" w:cs="Arial" w:eastAsia="Arial" w:hAnsi="Arial"/>
          <w:sz w:val="22"/>
          <w:szCs w:val="22"/>
        </w:rPr>
        <w:t xml:space="preserve">Medical Coding Delays: Coding specialists manually review clinical notes to assign ICD-10 and CPT codes, a process averaging 12 minutes per chart and prone to undercoding, which impacts revenue by an estimated 22%.</w:t>
      </w:r>
    </w:p>
    <w:p>
      <w:pPr>
        <w:pStyle w:val="ListParagraph"/>
        <w:numPr>
          <w:ilvl w:val="0"/>
          <w:numId w:val="2"/>
        </w:numPr>
        <w:spacing w:after="80"/>
      </w:pPr>
      <w:r>
        <w:rPr>
          <w:rFonts w:ascii="Arial" w:cs="Arial" w:eastAsia="Arial" w:hAnsi="Arial"/>
          <w:sz w:val="22"/>
          <w:szCs w:val="22"/>
        </w:rPr>
        <w:t xml:space="preserve">Medication Documentation Gaps: Approximately 30% of clinical notes lack complete medication dosage information, leading to delayed billing, adverse event risk, and compliance failures.</w:t>
      </w:r>
    </w:p>
    <w:p>
      <w:pPr>
        <w:pStyle w:val="ListParagraph"/>
        <w:numPr>
          <w:ilvl w:val="0"/>
          <w:numId w:val="2"/>
        </w:numPr>
        <w:spacing w:after="80"/>
      </w:pPr>
      <w:r>
        <w:rPr>
          <w:rFonts w:ascii="Arial" w:cs="Arial" w:eastAsia="Arial" w:hAnsi="Arial"/>
          <w:sz w:val="22"/>
          <w:szCs w:val="22"/>
        </w:rPr>
        <w:t xml:space="preserve">EHR Entry Latency: Real-time EHR updates during encounters are rare; most entries occur post-visit, creating a documentation lag that affects care transitions and specialist handoffs.</w:t>
      </w:r>
    </w:p>
    <w:p>
      <w:pPr>
        <w:pStyle w:val="ListParagraph"/>
        <w:numPr>
          <w:ilvl w:val="0"/>
          <w:numId w:val="2"/>
        </w:numPr>
        <w:spacing w:after="80"/>
      </w:pPr>
      <w:r>
        <w:rPr>
          <w:rFonts w:ascii="Arial" w:cs="Arial" w:eastAsia="Arial" w:hAnsi="Arial"/>
          <w:sz w:val="22"/>
          <w:szCs w:val="22"/>
        </w:rPr>
        <w:t xml:space="preserve">High Alert Fatigue: Staff receive excessive redundant notifications from disparate monitoring systems, reducing response rates to clinically significant alerts by an estimated 18%.</w:t>
      </w:r>
    </w:p>
    <w:p>
      <w:pPr>
        <w:spacing w:after="100"/>
      </w:pPr>
      <w:r>
        <w:t xml:space="preserve"/>
      </w:r>
    </w:p>
    <w:p>
      <w:pPr>
        <w:pStyle w:val="Heading2"/>
      </w:pPr>
      <w:r>
        <w:rPr>
          <w:rFonts w:ascii="Arial" w:cs="Arial" w:eastAsia="Arial" w:hAnsi="Arial"/>
          <w:b/>
          <w:bCs/>
          <w:color w:val="2E75B6"/>
          <w:sz w:val="26"/>
          <w:szCs w:val="26"/>
        </w:rPr>
        <w:t xml:space="preserve">1.2 ROI Analysis</w:t>
      </w:r>
    </w:p>
    <w:p>
      <w:pPr>
        <w:spacing w:after="120"/>
      </w:pPr>
      <w:r>
        <w:rPr>
          <w:rFonts w:ascii="Arial" w:cs="Arial" w:eastAsia="Arial" w:hAnsi="Arial"/>
          <w:sz w:val="22"/>
          <w:szCs w:val="22"/>
        </w:rPr>
        <w:t xml:space="preserve">Implementing automation is projected to reduce documentation time by 60%, equating to approximately 2.7 hours reclaimed per physician per shift. With 25 attending physicians rotating monthly, this yields approximately 2,025 recovered physician-hours per month, redeployable to direct patient care. Combined with improved coding accuracy (estimated 15% revenue uplift) and reduced transcription vendor costs (estimated $180,000 annually), the projected 12-month ROI is 285%.</w:t>
      </w:r>
    </w:p>
    <w:p>
      <w:pPr>
        <w:spacing w:after="100"/>
      </w:pPr>
      <w:r>
        <w:t xml:space="preserve"/>
      </w:r>
    </w:p>
    <w:p>
      <w:pPr>
        <w:pStyle w:val="Heading1"/>
      </w:pPr>
      <w:r>
        <w:rPr>
          <w:rFonts w:ascii="Arial" w:cs="Arial" w:eastAsia="Arial" w:hAnsi="Arial"/>
          <w:b/>
          <w:bCs/>
          <w:color w:val="1F3864"/>
          <w:sz w:val="32"/>
          <w:szCs w:val="32"/>
        </w:rPr>
        <w:t xml:space="preserve">2. Future State Vision</w:t>
      </w:r>
    </w:p>
    <w:p>
      <w:pPr>
        <w:spacing w:after="120"/>
      </w:pPr>
      <w:r>
        <w:rPr>
          <w:rFonts w:ascii="Arial" w:cs="Arial" w:eastAsia="Arial" w:hAnsi="Arial"/>
          <w:sz w:val="22"/>
          <w:szCs w:val="22"/>
        </w:rPr>
        <w:t xml:space="preserve">The future state replaces manual, fragmented documentation processes with an integrated, AI-driven pipeline powered by Azure AI services. Voice input captured during patient encounters is processed in real time, converted to structured clinical notes, enriched with entity extraction and medical coding, and pushed directly into the EHR — all within seconds of the clinical interaction.</w:t>
      </w:r>
    </w:p>
    <w:p>
      <w:pPr>
        <w:spacing w:after="100"/>
      </w:pPr>
      <w:r>
        <w:t xml:space="preserve"/>
      </w:r>
    </w:p>
    <w:p>
      <w:pPr>
        <w:pStyle w:val="Heading3"/>
      </w:pPr>
      <w:r>
        <w:rPr>
          <w:rFonts w:ascii="Arial" w:cs="Arial" w:eastAsia="Arial" w:hAnsi="Arial"/>
          <w:b/>
          <w:bCs/>
          <w:color w:val="404040"/>
          <w:sz w:val="24"/>
          <w:szCs w:val="24"/>
        </w:rPr>
        <w:t xml:space="preserve">Automation Components and Expected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Azure Speech Services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transcription with medical vocabulary; 95%+ accuracy target; speaker diarization for multi-clinician encounters</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Text Analytics for Health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Named Entity Recognition for medications, diagnoses, procedures; Assertion Detection; Relationship Extraction for dosage pairs</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Azure OpenAI (GPT-4)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note summarization; structured output generation; SOAP note formatting</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Logic Apps / Power Automate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orchestration; FHIR API integration; alert routing and EHR push</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Power BI + Azure Data Explorer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monitoring dashboards; anomaly detection; performance metrics</w:t>
            </w:r>
          </w:p>
        </w:tc>
      </w:tr>
    </w:tbl>
    <w:p>
      <w:pPr>
        <w:spacing w:after="100"/>
      </w:pPr>
      <w:r>
        <w:t xml:space="preserve"/>
      </w:r>
    </w:p>
    <w:p>
      <w:pPr>
        <w:pStyle w:val="Heading1"/>
      </w:pPr>
      <w:r>
        <w:rPr>
          <w:rFonts w:ascii="Arial" w:cs="Arial" w:eastAsia="Arial" w:hAnsi="Arial"/>
          <w:b/>
          <w:bCs/>
          <w:color w:val="1F3864"/>
          <w:sz w:val="32"/>
          <w:szCs w:val="32"/>
        </w:rPr>
        <w:t xml:space="preserve">3. Detailed Workflow Description</w:t>
      </w:r>
    </w:p>
    <w:p>
      <w:pPr>
        <w:pStyle w:val="Heading2"/>
      </w:pPr>
      <w:r>
        <w:rPr>
          <w:rFonts w:ascii="Arial" w:cs="Arial" w:eastAsia="Arial" w:hAnsi="Arial"/>
          <w:b/>
          <w:bCs/>
          <w:color w:val="2E75B6"/>
          <w:sz w:val="26"/>
          <w:szCs w:val="26"/>
        </w:rPr>
        <w:t xml:space="preserve">3.1 Voice Input Capture and Processing</w:t>
      </w:r>
    </w:p>
    <w:p>
      <w:pPr>
        <w:spacing w:after="120"/>
      </w:pPr>
      <w:r>
        <w:rPr>
          <w:rFonts w:ascii="Arial" w:cs="Arial" w:eastAsia="Arial" w:hAnsi="Arial"/>
          <w:sz w:val="22"/>
          <w:szCs w:val="22"/>
        </w:rPr>
        <w:t xml:space="preserve">Clinicians wear noise-canceling headset microphones paired with Azure Speech Services SDK-enabled workstations and mobile devices. At the start of each patient encounter, the clinician activates a hands-free documentation session using a wake word or physical button press. Azure Speech Services captures the audio stream in real time over a secure, encrypted WebSocket connection (TLS 1.3).</w:t>
      </w:r>
    </w:p>
    <w:p>
      <w:pPr>
        <w:spacing w:after="120"/>
      </w:pPr>
      <w:r>
        <w:rPr>
          <w:rFonts w:ascii="Arial" w:cs="Arial" w:eastAsia="Arial" w:hAnsi="Arial"/>
          <w:sz w:val="22"/>
          <w:szCs w:val="22"/>
        </w:rPr>
        <w:t xml:space="preserve">Speaker diarization is enabled to distinguish between the physician, patient, and other clinical staff present during multi-party interactions. The audio input is configured with the en-US medical locale, and custom acoustic models trained on ED terminology are applied to improve recognition accuracy in high-noise environments. Phrase boost lists containing high-risk medication names, procedure codes, and department-specific terminology are pre-loaded with boost values calibrated to 1.5 for sound-alike drug pairs.</w:t>
      </w:r>
    </w:p>
    <w:p>
      <w:pPr>
        <w:spacing w:after="100"/>
      </w:pPr>
      <w:r>
        <w:t xml:space="preserve"/>
      </w:r>
    </w:p>
    <w:p>
      <w:pPr>
        <w:pStyle w:val="Heading2"/>
      </w:pPr>
      <w:r>
        <w:rPr>
          <w:rFonts w:ascii="Arial" w:cs="Arial" w:eastAsia="Arial" w:hAnsi="Arial"/>
          <w:b/>
          <w:bCs/>
          <w:color w:val="2E75B6"/>
          <w:sz w:val="26"/>
          <w:szCs w:val="26"/>
        </w:rPr>
        <w:t xml:space="preserve">3.2 Real-Time Transcription with Error Correction</w:t>
      </w:r>
    </w:p>
    <w:p>
      <w:pPr>
        <w:spacing w:after="120"/>
      </w:pPr>
      <w:r>
        <w:rPr>
          <w:rFonts w:ascii="Arial" w:cs="Arial" w:eastAsia="Arial" w:hAnsi="Arial"/>
          <w:sz w:val="22"/>
          <w:szCs w:val="22"/>
        </w:rPr>
        <w:t xml:space="preserve">The Azure Speech-to-Text service streams transcription output with partial recognition results updated every 500 milliseconds. Final transcription segments are returned with confidence scores. Any segment scoring below 0.85 confidence is flagged for clinician review via an unobtrusive on-screen indicator. Clinicians can correct flagged segments using voice commands ('Correct: [replacement text]') or keyboard input without interrupting documentation flow.</w:t>
      </w:r>
    </w:p>
    <w:p>
      <w:pPr>
        <w:spacing w:after="120"/>
      </w:pPr>
      <w:r>
        <w:rPr>
          <w:rFonts w:ascii="Arial" w:cs="Arial" w:eastAsia="Arial" w:hAnsi="Arial"/>
          <w:sz w:val="22"/>
          <w:szCs w:val="22"/>
        </w:rPr>
        <w:t xml:space="preserve">Custom phrase lists with phonetic variations are applied specifically to high-risk medications such as celecoxib versus Celebrex and fosphenytoin versus Cerebyx. Mandatory voice confirmation is required for any medication entity extracted from a flagged segment before the note is finalized. This dual-layer error correction approach is designed to reduce medication transcription errors to below 1% of all documented encounters.</w:t>
      </w:r>
    </w:p>
    <w:p>
      <w:pPr>
        <w:spacing w:after="100"/>
      </w:pPr>
      <w:r>
        <w:t xml:space="preserve"/>
      </w:r>
    </w:p>
    <w:p>
      <w:pPr>
        <w:pStyle w:val="Heading2"/>
      </w:pPr>
      <w:r>
        <w:rPr>
          <w:rFonts w:ascii="Arial" w:cs="Arial" w:eastAsia="Arial" w:hAnsi="Arial"/>
          <w:b/>
          <w:bCs/>
          <w:color w:val="2E75B6"/>
          <w:sz w:val="26"/>
          <w:szCs w:val="26"/>
        </w:rPr>
        <w:t xml:space="preserve">3.3 Entity Extraction and Medical Coding</w:t>
      </w:r>
    </w:p>
    <w:p>
      <w:pPr>
        <w:spacing w:after="120"/>
      </w:pPr>
      <w:r>
        <w:rPr>
          <w:rFonts w:ascii="Arial" w:cs="Arial" w:eastAsia="Arial" w:hAnsi="Arial"/>
          <w:sz w:val="22"/>
          <w:szCs w:val="22"/>
        </w:rPr>
        <w:t xml:space="preserve">Transcribed text is passed to Azure Text Analytics for Health via a secure API call. The service performs Named Entity Recognition (NER) to identify medications, dosages, diagnoses, procedures, anatomical locations, lab values, and clinical findings. Relationship Extraction links entities — for example, associating a specific dosage value to its corresponding medication, or linking a diagnosis to its assertion status (confirmed, negated, or conditional).</w:t>
      </w:r>
    </w:p>
    <w:p>
      <w:pPr>
        <w:spacing w:after="120"/>
      </w:pPr>
      <w:r>
        <w:rPr>
          <w:rFonts w:ascii="Arial" w:cs="Arial" w:eastAsia="Arial" w:hAnsi="Arial"/>
          <w:sz w:val="22"/>
          <w:szCs w:val="22"/>
        </w:rPr>
        <w:t xml:space="preserve">Assertion Detection is applied to distinguish between confirmed diagnoses (e.g., 'patient has pneumonia') and negated or hypothetical mentions (e.g., 'no evidence of pneumonia' or 'rule out diabetes'). This is critical for accurate ICD-10 coding, as only confirmed diagnoses should be coded for billing purposes. Extracted entities are passed to a UMLS mapping service to standardize terminology to ICD-10 and CPT code sets. Validation rules enforce extraction accuracy above 95% before any coded output is submitted to the billing system.</w:t>
      </w:r>
    </w:p>
    <w:p>
      <w:pPr>
        <w:spacing w:after="100"/>
      </w:pPr>
      <w:r>
        <w:t xml:space="preserve"/>
      </w:r>
    </w:p>
    <w:p>
      <w:pPr>
        <w:pStyle w:val="Heading2"/>
      </w:pPr>
      <w:r>
        <w:rPr>
          <w:rFonts w:ascii="Arial" w:cs="Arial" w:eastAsia="Arial" w:hAnsi="Arial"/>
          <w:b/>
          <w:bCs/>
          <w:color w:val="2E75B6"/>
          <w:sz w:val="26"/>
          <w:szCs w:val="26"/>
        </w:rPr>
        <w:t xml:space="preserve">3.4 Summary Generation and Formatting</w:t>
      </w:r>
    </w:p>
    <w:p>
      <w:pPr>
        <w:spacing w:after="120"/>
      </w:pPr>
      <w:r>
        <w:rPr>
          <w:rFonts w:ascii="Arial" w:cs="Arial" w:eastAsia="Arial" w:hAnsi="Arial"/>
          <w:sz w:val="22"/>
          <w:szCs w:val="22"/>
        </w:rPr>
        <w:t xml:space="preserve">Structured entity data and the full transcription are submitted to Azure OpenAI (GPT-4 Turbo) with a system prompt engineered to generate a SOAP-formatted clinical note (Subjective, Objective, Assessment, Plan). The prompt instructs the model to use only information present in the transcription, flag any inferred content with a [REVIEW] marker, and output the note in a structured JSON format with defined fields for each SOAP section.</w:t>
      </w:r>
    </w:p>
    <w:p>
      <w:pPr>
        <w:spacing w:after="120"/>
      </w:pPr>
      <w:r>
        <w:rPr>
          <w:rFonts w:ascii="Arial" w:cs="Arial" w:eastAsia="Arial" w:hAnsi="Arial"/>
          <w:sz w:val="22"/>
          <w:szCs w:val="22"/>
        </w:rPr>
        <w:t xml:space="preserve">The generated summary is reviewed by the clinician via a side-by-side display showing the original transcription alongside the AI-generated note. The clinician can approve, edit, or reject individual sections. Section-level approval timestamps are recorded for audit purposes. Upon full approval, the note is formatted to comply with facility documentation standards and prepared for EHR ingestion.</w:t>
      </w:r>
    </w:p>
    <w:p>
      <w:pPr>
        <w:spacing w:after="100"/>
      </w:pPr>
      <w:r>
        <w:t xml:space="preserve"/>
      </w:r>
    </w:p>
    <w:p>
      <w:pPr>
        <w:pStyle w:val="Heading2"/>
      </w:pPr>
      <w:r>
        <w:rPr>
          <w:rFonts w:ascii="Arial" w:cs="Arial" w:eastAsia="Arial" w:hAnsi="Arial"/>
          <w:b/>
          <w:bCs/>
          <w:color w:val="2E75B6"/>
          <w:sz w:val="26"/>
          <w:szCs w:val="26"/>
        </w:rPr>
        <w:t xml:space="preserve">3.5 EHR Integration and Data Flow</w:t>
      </w:r>
    </w:p>
    <w:p>
      <w:pPr>
        <w:spacing w:after="120"/>
      </w:pPr>
      <w:r>
        <w:rPr>
          <w:rFonts w:ascii="Arial" w:cs="Arial" w:eastAsia="Arial" w:hAnsi="Arial"/>
          <w:sz w:val="22"/>
          <w:szCs w:val="22"/>
        </w:rPr>
        <w:t xml:space="preserve">Approved clinical notes, extracted entities, and assigned codes are transmitted to the EHR system via FHIR R4 API. The integration layer, built on Azure Logic Apps, maps AI-generated structured output to FHIR resource types: Patient, Encounter, Condition, MedicationRequest, Procedure, and DiagnosticReport. OAuth 2.0 with PKCE is used for authentication, and all data in transit is encrypted using TLS 1.3.</w:t>
      </w:r>
    </w:p>
    <w:p>
      <w:pPr>
        <w:spacing w:after="120"/>
      </w:pPr>
      <w:r>
        <w:rPr>
          <w:rFonts w:ascii="Arial" w:cs="Arial" w:eastAsia="Arial" w:hAnsi="Arial"/>
          <w:sz w:val="22"/>
          <w:szCs w:val="22"/>
        </w:rPr>
        <w:t xml:space="preserve">Logic Apps workflows enforce data validation rules before submission — checking required fields, code validity, and entity completeness. Failed submissions trigger an automated retry with exponential backoff and route unresolved failures to a manual review queue with full context. Successful EHR writes generate a confirmation event logged to Azure Monitor for audit trail purposes. End-to-end latency from clinician approval to EHR record update targets under 30 seconds.</w:t>
      </w:r>
    </w:p>
    <w:p>
      <w:pPr>
        <w:spacing w:after="100"/>
      </w:pPr>
      <w:r>
        <w:t xml:space="preserve"/>
      </w:r>
    </w:p>
    <w:p>
      <w:pPr>
        <w:pStyle w:val="Heading1"/>
      </w:pPr>
      <w:r>
        <w:rPr>
          <w:rFonts w:ascii="Arial" w:cs="Arial" w:eastAsia="Arial" w:hAnsi="Arial"/>
          <w:b/>
          <w:bCs/>
          <w:color w:val="1F3864"/>
          <w:sz w:val="32"/>
          <w:szCs w:val="32"/>
        </w:rPr>
        <w:t xml:space="preserve">4. Technical Architecture Overview</w:t>
      </w:r>
    </w:p>
    <w:p>
      <w:pPr>
        <w:pStyle w:val="Heading2"/>
      </w:pPr>
      <w:r>
        <w:rPr>
          <w:rFonts w:ascii="Arial" w:cs="Arial" w:eastAsia="Arial" w:hAnsi="Arial"/>
          <w:b/>
          <w:bCs/>
          <w:color w:val="2E75B6"/>
          <w:sz w:val="26"/>
          <w:szCs w:val="26"/>
        </w:rPr>
        <w:t xml:space="preserve">4.1 Azure Service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Speech Services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acoustic model; medical locale (en-US); diarization enabled; phrase boost 1.5 for high-risk medications; confidence threshold 0.85</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Text Analytics for Health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 Assertion Detection, Relationship Extraction, UMLS mapping; batch and real-time modes; 95%+ accuracy validation gate</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Azure OpenAI (GPT-4 Turbo)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SOAP note generation; structured JSON output; temperature 0.2 for clinical precision; system prompt with hallucination guardrails</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Logic Apps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FHIR API orchestration; retry logic with exponential backoff; error routing; audit logging to Azure Monitor</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Azure Monitor + Log Analytics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audit trails; performance dashboards; alert thresholds for SLA breaches</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Azure Key Vault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management for API keys, OAuth credentials, and encryption keys</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Azure Active Directory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RBAC-based access control; MFA enforcement; role separation between clinicians, coders, and IT staff</w:t>
            </w:r>
          </w:p>
        </w:tc>
      </w:tr>
    </w:tbl>
    <w:p>
      <w:pPr>
        <w:spacing w:after="100"/>
      </w:pPr>
      <w:r>
        <w:t xml:space="preserve"/>
      </w:r>
    </w:p>
    <w:p>
      <w:pPr>
        <w:pStyle w:val="Heading1"/>
      </w:pPr>
      <w:r>
        <w:rPr>
          <w:rFonts w:ascii="Arial" w:cs="Arial" w:eastAsia="Arial" w:hAnsi="Arial"/>
          <w:b/>
          <w:bCs/>
          <w:color w:val="1F3864"/>
          <w:sz w:val="32"/>
          <w:szCs w:val="32"/>
        </w:rPr>
        <w:t xml:space="preserve">5. Accuracy Targets and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Transcription Accuracy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95% word-level accuracy; &lt; 1% medication error rate; 100% flagging of sub-0.85 confidence segments</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Entity Extraction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95% precision and recall for medications and diagnoses; ≥ 90% for procedures</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Medical Coding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95% coding accuracy vs. expert coder benchmark; &lt; 5% undercoding rate</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EHR Integration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30-second end-to-end latency; 99.9% successful submission rate; 100% audit log coverage</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Clinician Satisfaction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80% approval on quarterly satisfaction surveys; &lt; 10% manual override rate per encounter</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System Availability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99.95% uptime SLA; &lt; 15-second failover to offline dictation mode</w:t>
            </w:r>
          </w:p>
        </w:tc>
      </w:tr>
    </w:tbl>
    <w:p>
      <w:pPr>
        <w:spacing w:after="100"/>
      </w:pPr>
      <w:r>
        <w:t xml:space="preserve"/>
      </w:r>
    </w:p>
    <w:p>
      <w:pPr>
        <w:pStyle w:val="Heading1"/>
      </w:pPr>
      <w:r>
        <w:rPr>
          <w:rFonts w:ascii="Arial" w:cs="Arial" w:eastAsia="Arial" w:hAnsi="Arial"/>
          <w:b/>
          <w:bCs/>
          <w:color w:val="1F3864"/>
          <w:sz w:val="32"/>
          <w:szCs w:val="32"/>
        </w:rPr>
        <w:t xml:space="preserve">6. Implementation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Month 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state process mapping; stakeholder interviews; Azure environment provisioning; EHR API discovery and FHIR specification drafting</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Month 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acoustic model training; phrase list development; Text Analytics for Health integration testing; Logic Apps workflow build</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Month 5–6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OpenAI SOAP note generation pilot; clinician review UI development; FHIR API integration testing with EHR sandbox</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Month 7–8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pilot in 2 ED exam rooms; accuracy benchmarking; clinician feedback cycles; error correction workflow refinement</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Month 9–10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ED rollout; training program execution; performance dashboard go-live; billing integration activation</w:t>
            </w:r>
          </w:p>
        </w:tc>
      </w:tr>
      <w:tr>
        <w:tc>
          <w:tcPr>
            <w:tcW w:type="dxa" w:w="3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Month 11–12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Post-go-live optimization; model retraining based on production data; ROI measurement and executive reporting</w:t>
            </w:r>
          </w:p>
        </w:tc>
      </w:tr>
    </w:tbl>
    <w:p>
      <w:pPr>
        <w:spacing w:after="100"/>
      </w:pPr>
      <w:r>
        <w:t xml:space="preserve"/>
      </w:r>
    </w:p>
    <w:p>
      <w:pPr>
        <w:pStyle w:val="Heading1"/>
      </w:pPr>
      <w:r>
        <w:rPr>
          <w:rFonts w:ascii="Arial" w:cs="Arial" w:eastAsia="Arial" w:hAnsi="Arial"/>
          <w:b/>
          <w:bCs/>
          <w:color w:val="1F3864"/>
          <w:sz w:val="32"/>
          <w:szCs w:val="32"/>
        </w:rPr>
        <w:t xml:space="preserve">7. Change Management Considerations</w:t>
      </w:r>
    </w:p>
    <w:p>
      <w:pPr>
        <w:spacing w:after="120"/>
      </w:pPr>
      <w:r>
        <w:rPr>
          <w:rFonts w:ascii="Arial" w:cs="Arial" w:eastAsia="Arial" w:hAnsi="Arial"/>
          <w:sz w:val="22"/>
          <w:szCs w:val="22"/>
        </w:rPr>
        <w:t xml:space="preserve">Successful adoption of clinical documentation automation requires a structured change management strategy that prioritizes clinician trust, workflow integration, and transparent communication. Resistance to AI-assisted documentation is common in healthcare settings; the primary concern among physicians is loss of clinical autonomy and uncertainty about AI reliability.</w:t>
      </w:r>
    </w:p>
    <w:p>
      <w:pPr>
        <w:pStyle w:val="ListParagraph"/>
        <w:numPr>
          <w:ilvl w:val="0"/>
          <w:numId w:val="2"/>
        </w:numPr>
        <w:spacing w:after="80"/>
      </w:pPr>
      <w:r>
        <w:rPr>
          <w:rFonts w:ascii="Arial" w:cs="Arial" w:eastAsia="Arial" w:hAnsi="Arial"/>
          <w:sz w:val="22"/>
          <w:szCs w:val="22"/>
        </w:rPr>
        <w:t xml:space="preserve">Executive Sponsorship: Secure visible commitment from the Chief Medical Officer and ED Medical Director to signal institutional endorsement and clinical leadership buy-in.</w:t>
      </w:r>
    </w:p>
    <w:p>
      <w:pPr>
        <w:pStyle w:val="ListParagraph"/>
        <w:numPr>
          <w:ilvl w:val="0"/>
          <w:numId w:val="2"/>
        </w:numPr>
        <w:spacing w:after="80"/>
      </w:pPr>
      <w:r>
        <w:rPr>
          <w:rFonts w:ascii="Arial" w:cs="Arial" w:eastAsia="Arial" w:hAnsi="Arial"/>
          <w:sz w:val="22"/>
          <w:szCs w:val="22"/>
        </w:rPr>
        <w:t xml:space="preserve">Clinical Champions Program: Identify 3–5 ED physicians and nurses as early adopters who participate in pilot design, provide feedback, and serve as peer advocates during rollout.</w:t>
      </w:r>
    </w:p>
    <w:p>
      <w:pPr>
        <w:pStyle w:val="ListParagraph"/>
        <w:numPr>
          <w:ilvl w:val="0"/>
          <w:numId w:val="2"/>
        </w:numPr>
        <w:spacing w:after="80"/>
      </w:pPr>
      <w:r>
        <w:rPr>
          <w:rFonts w:ascii="Arial" w:cs="Arial" w:eastAsia="Arial" w:hAnsi="Arial"/>
          <w:sz w:val="22"/>
          <w:szCs w:val="22"/>
        </w:rPr>
        <w:t xml:space="preserve">Phased Introduction: Begin with AI-assisted documentation (clinician reviews and approves every output) before transitioning to higher-autonomy configurations, ensuring clinicians maintain control throughout.</w:t>
      </w:r>
    </w:p>
    <w:p>
      <w:pPr>
        <w:pStyle w:val="ListParagraph"/>
        <w:numPr>
          <w:ilvl w:val="0"/>
          <w:numId w:val="2"/>
        </w:numPr>
        <w:spacing w:after="80"/>
      </w:pPr>
      <w:r>
        <w:rPr>
          <w:rFonts w:ascii="Arial" w:cs="Arial" w:eastAsia="Arial" w:hAnsi="Arial"/>
          <w:sz w:val="22"/>
          <w:szCs w:val="22"/>
        </w:rPr>
        <w:t xml:space="preserve">Transparent Communication: Publish clear documentation on AI capabilities, limitations, accuracy metrics, and override procedures. Avoid positioning the system as infallible.</w:t>
      </w:r>
    </w:p>
    <w:p>
      <w:pPr>
        <w:pStyle w:val="ListParagraph"/>
        <w:numPr>
          <w:ilvl w:val="0"/>
          <w:numId w:val="2"/>
        </w:numPr>
        <w:spacing w:after="80"/>
      </w:pPr>
      <w:r>
        <w:rPr>
          <w:rFonts w:ascii="Arial" w:cs="Arial" w:eastAsia="Arial" w:hAnsi="Arial"/>
          <w:sz w:val="22"/>
          <w:szCs w:val="22"/>
        </w:rPr>
        <w:t xml:space="preserve">Feedback Channels: Establish a dedicated feedback mechanism within the documentation interface allowing clinicians to flag errors, suggest improvements, and report concerns in real time.</w:t>
      </w:r>
    </w:p>
    <w:p>
      <w:pPr>
        <w:spacing w:after="100"/>
      </w:pPr>
      <w:r>
        <w:t xml:space="preserve"/>
      </w:r>
    </w:p>
    <w:p>
      <w:pPr>
        <w:pStyle w:val="Heading1"/>
      </w:pPr>
      <w:r>
        <w:rPr>
          <w:rFonts w:ascii="Arial" w:cs="Arial" w:eastAsia="Arial" w:hAnsi="Arial"/>
          <w:b/>
          <w:bCs/>
          <w:color w:val="1F3864"/>
          <w:sz w:val="32"/>
          <w:szCs w:val="32"/>
        </w:rPr>
        <w:t xml:space="preserve">8. Training and Support Requirements</w:t>
      </w:r>
    </w:p>
    <w:p>
      <w:pPr>
        <w:pStyle w:val="Heading2"/>
      </w:pPr>
      <w:r>
        <w:rPr>
          <w:rFonts w:ascii="Arial" w:cs="Arial" w:eastAsia="Arial" w:hAnsi="Arial"/>
          <w:b/>
          <w:bCs/>
          <w:color w:val="2E75B6"/>
          <w:sz w:val="26"/>
          <w:szCs w:val="26"/>
        </w:rPr>
        <w:t xml:space="preserve">8.1 Training Program</w:t>
      </w:r>
    </w:p>
    <w:p>
      <w:pPr>
        <w:pStyle w:val="ListParagraph"/>
        <w:numPr>
          <w:ilvl w:val="0"/>
          <w:numId w:val="2"/>
        </w:numPr>
        <w:spacing w:after="80"/>
      </w:pPr>
      <w:r>
        <w:rPr>
          <w:rFonts w:ascii="Arial" w:cs="Arial" w:eastAsia="Arial" w:hAnsi="Arial"/>
          <w:sz w:val="22"/>
          <w:szCs w:val="22"/>
        </w:rPr>
        <w:t xml:space="preserve">Quick Reference Guides: Laminated one-page cards for each clinical role (physician, nurse, coder) covering system activation, voice commands, correction procedures, and override steps.</w:t>
      </w:r>
    </w:p>
    <w:p>
      <w:pPr>
        <w:pStyle w:val="ListParagraph"/>
        <w:numPr>
          <w:ilvl w:val="0"/>
          <w:numId w:val="2"/>
        </w:numPr>
        <w:spacing w:after="80"/>
      </w:pPr>
      <w:r>
        <w:rPr>
          <w:rFonts w:ascii="Arial" w:cs="Arial" w:eastAsia="Arial" w:hAnsi="Arial"/>
          <w:sz w:val="22"/>
          <w:szCs w:val="22"/>
        </w:rPr>
        <w:t xml:space="preserve">Video Tutorials: 5–10 minute role-specific tutorial videos covering system setup, encounter documentation workflow, review and approval interface, and error reporting.</w:t>
      </w:r>
    </w:p>
    <w:p>
      <w:pPr>
        <w:pStyle w:val="ListParagraph"/>
        <w:numPr>
          <w:ilvl w:val="0"/>
          <w:numId w:val="2"/>
        </w:numPr>
        <w:spacing w:after="80"/>
      </w:pPr>
      <w:r>
        <w:rPr>
          <w:rFonts w:ascii="Arial" w:cs="Arial" w:eastAsia="Arial" w:hAnsi="Arial"/>
          <w:sz w:val="22"/>
          <w:szCs w:val="22"/>
        </w:rPr>
        <w:t xml:space="preserve">Hands-On Simulation Labs: Two-hour small-group training sessions using simulated patient encounters in a non-production environment before go-live.</w:t>
      </w:r>
    </w:p>
    <w:p>
      <w:pPr>
        <w:pStyle w:val="ListParagraph"/>
        <w:numPr>
          <w:ilvl w:val="0"/>
          <w:numId w:val="2"/>
        </w:numPr>
        <w:spacing w:after="80"/>
      </w:pPr>
      <w:r>
        <w:rPr>
          <w:rFonts w:ascii="Arial" w:cs="Arial" w:eastAsia="Arial" w:hAnsi="Arial"/>
          <w:sz w:val="22"/>
          <w:szCs w:val="22"/>
        </w:rPr>
        <w:t xml:space="preserve">Troubleshooting Documentation: Searchable knowledge base covering common error scenarios, offline fallback procedures, and IT escalation paths.</w:t>
      </w:r>
    </w:p>
    <w:p>
      <w:pPr>
        <w:spacing w:after="100"/>
      </w:pPr>
      <w:r>
        <w:t xml:space="preserve"/>
      </w:r>
    </w:p>
    <w:p>
      <w:pPr>
        <w:pStyle w:val="Heading2"/>
      </w:pPr>
      <w:r>
        <w:rPr>
          <w:rFonts w:ascii="Arial" w:cs="Arial" w:eastAsia="Arial" w:hAnsi="Arial"/>
          <w:b/>
          <w:bCs/>
          <w:color w:val="2E75B6"/>
          <w:sz w:val="26"/>
          <w:szCs w:val="26"/>
        </w:rPr>
        <w:t xml:space="preserve">8.2 Ongoing Support</w:t>
      </w:r>
    </w:p>
    <w:p>
      <w:pPr>
        <w:pStyle w:val="ListParagraph"/>
        <w:numPr>
          <w:ilvl w:val="0"/>
          <w:numId w:val="2"/>
        </w:numPr>
        <w:spacing w:after="80"/>
      </w:pPr>
      <w:r>
        <w:rPr>
          <w:rFonts w:ascii="Arial" w:cs="Arial" w:eastAsia="Arial" w:hAnsi="Arial"/>
          <w:sz w:val="22"/>
          <w:szCs w:val="22"/>
        </w:rPr>
        <w:t xml:space="preserve">Dedicated Helpdesk: Tier-1 support via phone and chat during ED operating hours; Tier-2 escalation to Azure-certified clinical informatics engineers for complex issues.</w:t>
      </w:r>
    </w:p>
    <w:p>
      <w:pPr>
        <w:pStyle w:val="ListParagraph"/>
        <w:numPr>
          <w:ilvl w:val="0"/>
          <w:numId w:val="2"/>
        </w:numPr>
        <w:spacing w:after="80"/>
      </w:pPr>
      <w:r>
        <w:rPr>
          <w:rFonts w:ascii="Arial" w:cs="Arial" w:eastAsia="Arial" w:hAnsi="Arial"/>
          <w:sz w:val="22"/>
          <w:szCs w:val="22"/>
        </w:rPr>
        <w:t xml:space="preserve">Monthly Performance Reviews: Automated accuracy reports distributed to department leadership; quarterly clinician feedback surveys; bi-annual system optimization cycles.</w:t>
      </w:r>
    </w:p>
    <w:p>
      <w:pPr>
        <w:pStyle w:val="ListParagraph"/>
        <w:numPr>
          <w:ilvl w:val="0"/>
          <w:numId w:val="2"/>
        </w:numPr>
        <w:spacing w:after="80"/>
      </w:pPr>
      <w:r>
        <w:rPr>
          <w:rFonts w:ascii="Arial" w:cs="Arial" w:eastAsia="Arial" w:hAnsi="Arial"/>
          <w:sz w:val="22"/>
          <w:szCs w:val="22"/>
        </w:rPr>
        <w:t xml:space="preserve">Continuous Learning: Acoustic models and entity extraction models retrained quarterly using production data with clinician-corrected annotations, incorporating emerging terminology and new medications.</w:t>
      </w:r>
    </w:p>
    <w:p>
      <w:pPr>
        <w:spacing w:after="100"/>
      </w:pPr>
      <w:r>
        <w:t xml:space="preserve"/>
      </w:r>
    </w:p>
    <w:p>
      <w:pPr>
        <w:pBdr>
          <w:top w:val="single" w:color="2E75B6" w:sz="4" w:space="4"/>
        </w:pBdr>
        <w:spacing w:before="400"/>
        <w:jc w:val="center"/>
      </w:pPr>
      <w:r>
        <w:rPr>
          <w:rFonts w:ascii="Arial" w:cs="Arial" w:eastAsia="Arial" w:hAnsi="Arial"/>
          <w:i/>
          <w:iCs/>
          <w:color w:val="888888"/>
          <w:sz w:val="18"/>
          <w:szCs w:val="18"/>
        </w:rPr>
        <w:t xml:space="preserve">End of Component 1: Clinical Documentation Workflow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AI-Powered Clinical Workflow Automation  |  Component 1: Clinical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2026-03-27T01:26:03.411Z</dcterms:created>
  <dcterms:modified xsi:type="dcterms:W3CDTF">2026-03-27T01:26:03.411Z</dcterms:modified>
</cp:coreProperties>
</file>

<file path=docProps/custom.xml><?xml version="1.0" encoding="utf-8"?>
<Properties xmlns="http://schemas.openxmlformats.org/officeDocument/2006/custom-properties" xmlns:vt="http://schemas.openxmlformats.org/officeDocument/2006/docPropsVTypes"/>
</file>