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4731"/>
          <w:sz w:val="48"/>
          <w:szCs w:val="48"/>
        </w:rPr>
        <w:t xml:space="preserve">AI-Powered Clinical Monitoring System</w:t>
      </w:r>
    </w:p>
    <w:p>
      <w:pPr>
        <w:spacing w:after="400"/>
        <w:jc w:val="center"/>
      </w:pPr>
      <w:r>
        <w:rPr>
          <w:rFonts w:ascii="Arial" w:cs="Arial" w:eastAsia="Arial" w:hAnsi="Arial"/>
          <w:color w:val="555555"/>
          <w:sz w:val="22"/>
          <w:szCs w:val="22"/>
        </w:rPr>
        <w:t xml:space="preserve">Real-Time Patient Monitoring, Anomaly Detection, and Intelligent Alerting</w:t>
      </w:r>
    </w:p>
    <w:p>
      <w:pPr>
        <w:pStyle w:val="Heading1"/>
      </w:pPr>
      <w:r>
        <w:rPr>
          <w:rFonts w:ascii="Arial" w:cs="Arial" w:eastAsia="Arial" w:hAnsi="Arial"/>
          <w:b/>
          <w:bCs/>
          <w:color w:val="1A4731"/>
          <w:sz w:val="32"/>
          <w:szCs w:val="32"/>
        </w:rPr>
        <w:t xml:space="preserve">1. Real-Time Data Ingestion from Multiple Sources</w:t>
      </w:r>
    </w:p>
    <w:p>
      <w:pPr>
        <w:spacing w:after="120"/>
      </w:pPr>
      <w:r>
        <w:rPr>
          <w:rFonts w:ascii="Arial" w:cs="Arial" w:eastAsia="Arial" w:hAnsi="Arial"/>
          <w:sz w:val="22"/>
          <w:szCs w:val="22"/>
        </w:rPr>
        <w:t xml:space="preserve">The clinical monitoring system is built on Azure Data Explorer (ADX) as the primary backend processing engine, ingesting continuous data streams from multiple source systems across the ED. Data ingestion pipelines are implemented using Azure Event Hubs, which capture high-frequency telemetry data and fan it out to downstream processing components with sub-second latency.</w:t>
      </w:r>
    </w:p>
    <w:p>
      <w:pPr>
        <w:spacing w:after="120"/>
      </w:pPr>
      <w:r>
        <w:rPr>
          <w:rFonts w:ascii="Arial" w:cs="Arial" w:eastAsia="Arial" w:hAnsi="Arial"/>
          <w:sz w:val="22"/>
          <w:szCs w:val="22"/>
        </w:rPr>
        <w:t xml:space="preserve">Vital sign monitoring devices — including bedside cardiac monitors, pulse oximeters, non-invasive blood pressure cuffs, and capnography units — stream data to ADX via HL7 FHIR R4 Observation resources over a secure API gateway. Lab systems transmit result notifications via HL7 v2.5 ADT/ORU messages, which are transformed to FHIR format by the integration layer before ADX ingestion. Ventilator parameters, infusion pump rates, and temperature probe data are collected through device integration middleware certified for clinical use.</w:t>
      </w:r>
    </w:p>
    <w:p>
      <w:pPr>
        <w:spacing w:after="100"/>
      </w:pPr>
      <w:r>
        <w:t xml:space="preserve"/>
      </w:r>
    </w:p>
    <w:p>
      <w:pPr>
        <w:pStyle w:val="Heading3"/>
      </w:pPr>
      <w:r>
        <w:rPr>
          <w:rFonts w:ascii="Arial" w:cs="Arial" w:eastAsia="Arial" w:hAnsi="Arial"/>
          <w:b/>
          <w:bCs/>
          <w:color w:val="404040"/>
          <w:sz w:val="24"/>
          <w:szCs w:val="24"/>
        </w:rPr>
        <w:t xml:space="preserve">Data Sources and Ingestion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Cardiac Monitor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ECG waveform (500 Hz), heart rate, SpO2, respiratory rate — continuous stream</w:t>
            </w:r>
          </w:p>
        </w:tc>
      </w:tr>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Blood Pressure Module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NIBP readings every 5–15 minutes (configurable per acuity level)</w:t>
            </w:r>
          </w:p>
        </w:tc>
      </w:tr>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Lab Information System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result push via HL7 ORU; critical value flag passthrough</w:t>
            </w:r>
          </w:p>
        </w:tc>
      </w:tr>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Ventilator / Respiratory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Tidal volume, PEEP, FiO2, minute ventilation — 1-minute intervals</w:t>
            </w:r>
          </w:p>
        </w:tc>
      </w:tr>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EHR Medication Administration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 administration events within 60 seconds of infusion pump recording</w:t>
            </w:r>
          </w:p>
        </w:tc>
      </w:tr>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Nursing Flowsheets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nursing assessments, pain scores, and clinical observations</w:t>
            </w:r>
          </w:p>
        </w:tc>
      </w:tr>
    </w:tbl>
    <w:p>
      <w:pPr>
        <w:spacing w:after="100"/>
      </w:pPr>
      <w:r>
        <w:t xml:space="preserve"/>
      </w:r>
    </w:p>
    <w:p>
      <w:pPr>
        <w:pStyle w:val="Heading1"/>
      </w:pPr>
      <w:r>
        <w:rPr>
          <w:rFonts w:ascii="Arial" w:cs="Arial" w:eastAsia="Arial" w:hAnsi="Arial"/>
          <w:b/>
          <w:bCs/>
          <w:color w:val="1A4731"/>
          <w:sz w:val="32"/>
          <w:szCs w:val="32"/>
        </w:rPr>
        <w:t xml:space="preserve">2. Anomaly Detection Across Vital Signs and Lab Values</w:t>
      </w:r>
    </w:p>
    <w:p>
      <w:pPr>
        <w:spacing w:after="120"/>
      </w:pPr>
      <w:r>
        <w:rPr>
          <w:rFonts w:ascii="Arial" w:cs="Arial" w:eastAsia="Arial" w:hAnsi="Arial"/>
          <w:sz w:val="22"/>
          <w:szCs w:val="22"/>
        </w:rPr>
        <w:t xml:space="preserve">Power BI's built-in AI anomaly detection, powered by Azure AI and backed by ADX time-series processing, is configured to monitor all ingested patient parameters in real time. The anomaly detection model establishes individualized baseline confidence bands for each patient using the first 30 minutes of admission data combined with reference ranges adjusted for age, diagnosis category, and acuity level. This patient-specific baselining reduces false positive alerts compared to static population-level thresholds.</w:t>
      </w:r>
    </w:p>
    <w:p>
      <w:pPr>
        <w:spacing w:after="120"/>
      </w:pPr>
      <w:r>
        <w:rPr>
          <w:rFonts w:ascii="Arial" w:cs="Arial" w:eastAsia="Arial" w:hAnsi="Arial"/>
          <w:sz w:val="22"/>
          <w:szCs w:val="22"/>
        </w:rPr>
        <w:t xml:space="preserve">Sensitivity is calibrated per parameter type. Heart rate and SpO2 anomaly detection uses a smoothing function to filter transient movement-related noise before applying threshold analysis, preventing spurious alerts during patient repositioning or ambulation. For lab values, the system applies delta-check rules — comparing new results against prior values — to detect clinically significant acute changes that may fall within normal reference ranges individually but represent meaningful deterioration trends.</w:t>
      </w:r>
    </w:p>
    <w:p>
      <w:pPr>
        <w:pStyle w:val="ListParagraph"/>
        <w:numPr>
          <w:ilvl w:val="0"/>
          <w:numId w:val="2"/>
        </w:numPr>
        <w:spacing w:after="80"/>
      </w:pPr>
      <w:r>
        <w:rPr>
          <w:rFonts w:ascii="Arial" w:cs="Arial" w:eastAsia="Arial" w:hAnsi="Arial"/>
          <w:sz w:val="22"/>
          <w:szCs w:val="22"/>
        </w:rPr>
        <w:t xml:space="preserve">Vital Sign Parameters Monitored: Heart rate, SpO2, respiratory rate, blood pressure (systolic, diastolic, MAP), temperature, end-tidal CO2, and Glasgow Coma Scale updates.</w:t>
      </w:r>
    </w:p>
    <w:p>
      <w:pPr>
        <w:pStyle w:val="ListParagraph"/>
        <w:numPr>
          <w:ilvl w:val="0"/>
          <w:numId w:val="2"/>
        </w:numPr>
        <w:spacing w:after="80"/>
      </w:pPr>
      <w:r>
        <w:rPr>
          <w:rFonts w:ascii="Arial" w:cs="Arial" w:eastAsia="Arial" w:hAnsi="Arial"/>
          <w:sz w:val="22"/>
          <w:szCs w:val="22"/>
        </w:rPr>
        <w:t xml:space="preserve">Lab Values Monitored: Lactate, troponin, creatinine, hemoglobin, potassium, sodium, glucose, arterial blood gas components, and INR/PT.</w:t>
      </w:r>
    </w:p>
    <w:p>
      <w:pPr>
        <w:pStyle w:val="ListParagraph"/>
        <w:numPr>
          <w:ilvl w:val="0"/>
          <w:numId w:val="2"/>
        </w:numPr>
        <w:spacing w:after="80"/>
      </w:pPr>
      <w:r>
        <w:rPr>
          <w:rFonts w:ascii="Arial" w:cs="Arial" w:eastAsia="Arial" w:hAnsi="Arial"/>
          <w:sz w:val="22"/>
          <w:szCs w:val="22"/>
        </w:rPr>
        <w:t xml:space="preserve">Composite Scoring: Modified Early Warning Score (MEWS) is calculated automatically every 5 minutes and incorporated into anomaly risk stratification.</w:t>
      </w:r>
    </w:p>
    <w:p>
      <w:pPr>
        <w:pStyle w:val="ListParagraph"/>
        <w:numPr>
          <w:ilvl w:val="0"/>
          <w:numId w:val="2"/>
        </w:numPr>
        <w:spacing w:after="80"/>
      </w:pPr>
      <w:r>
        <w:rPr>
          <w:rFonts w:ascii="Arial" w:cs="Arial" w:eastAsia="Arial" w:hAnsi="Arial"/>
          <w:sz w:val="22"/>
          <w:szCs w:val="22"/>
        </w:rPr>
        <w:t xml:space="preserve">Alert Suppression Logic: Suppression rules with configurable time intervals prevent duplicate alerts for the same parameter within a defined window (default: 15 minutes), addressing alert fatigue without suppressing new escalations.</w:t>
      </w:r>
    </w:p>
    <w:p>
      <w:pPr>
        <w:spacing w:after="100"/>
      </w:pPr>
      <w:r>
        <w:t xml:space="preserve"/>
      </w:r>
    </w:p>
    <w:p>
      <w:pPr>
        <w:pStyle w:val="Heading1"/>
      </w:pPr>
      <w:r>
        <w:rPr>
          <w:rFonts w:ascii="Arial" w:cs="Arial" w:eastAsia="Arial" w:hAnsi="Arial"/>
          <w:b/>
          <w:bCs/>
          <w:color w:val="1A4731"/>
          <w:sz w:val="32"/>
          <w:szCs w:val="32"/>
        </w:rPr>
        <w:t xml:space="preserve">3. Intelligent Alert Generation with Clinical Context</w:t>
      </w:r>
    </w:p>
    <w:p>
      <w:pPr>
        <w:spacing w:after="120"/>
      </w:pPr>
      <w:r>
        <w:rPr>
          <w:rFonts w:ascii="Arial" w:cs="Arial" w:eastAsia="Arial" w:hAnsi="Arial"/>
          <w:sz w:val="22"/>
          <w:szCs w:val="22"/>
        </w:rPr>
        <w:t xml:space="preserve">When the anomaly detection engine flags a parameter breach, the alert generation pipeline enriches the notification with clinical context before routing it to the care team. Context enrichment is performed by a Logic Apps workflow that queries the FHIR-based patient record and assembles a structured alert payload including: current vitals trend over the preceding 60 minutes, relevant recent lab values, active medications that may be contributing to the finding, current diagnosis and acuity level, and clinician assignment information.</w:t>
      </w:r>
    </w:p>
    <w:p>
      <w:pPr>
        <w:spacing w:after="120"/>
      </w:pPr>
      <w:r>
        <w:rPr>
          <w:rFonts w:ascii="Arial" w:cs="Arial" w:eastAsia="Arial" w:hAnsi="Arial"/>
          <w:sz w:val="22"/>
          <w:szCs w:val="22"/>
        </w:rPr>
        <w:t xml:space="preserve">Alert severity is classified into three tiers: Informational (yellow), Urgent (orange), and Critical (red). Tier assignment is driven by a rule-based engine combined with the ML-derived anomaly confidence score. For example, a heart rate of 110 bpm in a patient with an active sepsis protocol triggers an Urgent alert immediately, whereas the same rate in a patient post-exercise is classified as Informational and suppressed after 15 minutes without escalation. Assertion-aware context prevents alerts from being generated based on negated clinical findings documented in the transcription system.</w:t>
      </w:r>
    </w:p>
    <w:p>
      <w:pPr>
        <w:spacing w:after="100"/>
      </w:pPr>
      <w:r>
        <w:t xml:space="preserve"/>
      </w:r>
    </w:p>
    <w:p>
      <w:pPr>
        <w:pStyle w:val="Heading1"/>
      </w:pPr>
      <w:r>
        <w:rPr>
          <w:rFonts w:ascii="Arial" w:cs="Arial" w:eastAsia="Arial" w:hAnsi="Arial"/>
          <w:b/>
          <w:bCs/>
          <w:color w:val="1A4731"/>
          <w:sz w:val="32"/>
          <w:szCs w:val="32"/>
        </w:rPr>
        <w:t xml:space="preserve">4. Alert Routing and Escalation Workflows</w:t>
      </w:r>
    </w:p>
    <w:p>
      <w:pPr>
        <w:spacing w:after="120"/>
      </w:pPr>
      <w:r>
        <w:rPr>
          <w:rFonts w:ascii="Arial" w:cs="Arial" w:eastAsia="Arial" w:hAnsi="Arial"/>
          <w:sz w:val="22"/>
          <w:szCs w:val="22"/>
        </w:rPr>
        <w:t xml:space="preserve">Alert routing is orchestrated by Power Automate flows integrated with the ED communication system. Initial alerts are delivered to the assigned bedside nurse via the nurse call system and the hospital's clinical communication platform (e.g., Vocera or Spectralink). Urgent and Critical alerts are simultaneously pushed to the treating physician's mobile device via the secure messaging application.</w:t>
      </w:r>
    </w:p>
    <w:p>
      <w:pPr>
        <w:spacing w:after="120"/>
      </w:pPr>
      <w:r>
        <w:rPr>
          <w:rFonts w:ascii="Arial" w:cs="Arial" w:eastAsia="Arial" w:hAnsi="Arial"/>
          <w:sz w:val="22"/>
          <w:szCs w:val="22"/>
        </w:rPr>
        <w:t xml:space="preserve">Escalation protocols are governed by clinical severity and defined response thresholds. If an Urgent alert is not acknowledged within 5 minutes, the system automatically escalates to the charge nurse. If unacknowledged for an additional 5 minutes, a Critical escalation is sent to the attending physician and ED charge physician. All escalation events are logged with timestamps, recipient identifiers, and resolution status for post-incident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Informational Alert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Bedside nurse via call system; 30-minute auto-resolution if no action; logged for trend analysis</w:t>
            </w:r>
          </w:p>
        </w:tc>
      </w:tr>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Urgent Alert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Nurse + physician mobile push; 5-minute escalation if unacknowledged; mandatory acknowledgment required</w:t>
            </w:r>
          </w:p>
        </w:tc>
      </w:tr>
      <w:tr>
        <w:tc>
          <w:tcPr>
            <w:tcW w:type="dxa" w:w="35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sz w:val="20"/>
                <w:szCs w:val="20"/>
              </w:rPr>
              <w:t xml:space="preserve">Critical Alert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simultaneous notification to nurse, physician, and charge physician; PA system activation option; mandatory documentation of response action</w:t>
            </w:r>
          </w:p>
        </w:tc>
      </w:tr>
    </w:tbl>
    <w:p>
      <w:pPr>
        <w:spacing w:after="100"/>
      </w:pPr>
      <w:r>
        <w:t xml:space="preserve"/>
      </w:r>
    </w:p>
    <w:p>
      <w:pPr>
        <w:pStyle w:val="Heading1"/>
      </w:pPr>
      <w:r>
        <w:rPr>
          <w:rFonts w:ascii="Arial" w:cs="Arial" w:eastAsia="Arial" w:hAnsi="Arial"/>
          <w:b/>
          <w:bCs/>
          <w:color w:val="1A4731"/>
          <w:sz w:val="32"/>
          <w:szCs w:val="32"/>
        </w:rPr>
        <w:t xml:space="preserve">5. Power BI Dashboard Summaries</w:t>
      </w:r>
    </w:p>
    <w:p>
      <w:pPr>
        <w:pStyle w:val="Heading2"/>
      </w:pPr>
      <w:r>
        <w:rPr>
          <w:rFonts w:ascii="Arial" w:cs="Arial" w:eastAsia="Arial" w:hAnsi="Arial"/>
          <w:b/>
          <w:bCs/>
          <w:color w:val="217346"/>
          <w:sz w:val="26"/>
          <w:szCs w:val="26"/>
        </w:rPr>
        <w:t xml:space="preserve">5.1 Patient Status Overview</w:t>
      </w:r>
    </w:p>
    <w:p>
      <w:pPr>
        <w:spacing w:after="120"/>
      </w:pPr>
      <w:r>
        <w:rPr>
          <w:rFonts w:ascii="Arial" w:cs="Arial" w:eastAsia="Arial" w:hAnsi="Arial"/>
          <w:sz w:val="22"/>
          <w:szCs w:val="22"/>
        </w:rPr>
        <w:t xml:space="preserve">The primary ED monitoring dashboard displays a real-time grid of all active patients, color-coded by acuity level and current alert status. Each patient tile shows current heart rate, SpO2, blood pressure, respiratory rate, and MEWS score with trend arrows indicating directional change over the past 30 minutes. Patients with active Urgent or Critical alerts are automatically promoted to the top of the display grid.</w:t>
      </w:r>
    </w:p>
    <w:p>
      <w:pPr>
        <w:spacing w:after="100"/>
      </w:pPr>
      <w:r>
        <w:t xml:space="preserve"/>
      </w:r>
    </w:p>
    <w:p>
      <w:pPr>
        <w:pStyle w:val="Heading2"/>
      </w:pPr>
      <w:r>
        <w:rPr>
          <w:rFonts w:ascii="Arial" w:cs="Arial" w:eastAsia="Arial" w:hAnsi="Arial"/>
          <w:b/>
          <w:bCs/>
          <w:color w:val="217346"/>
          <w:sz w:val="26"/>
          <w:szCs w:val="26"/>
        </w:rPr>
        <w:t xml:space="preserve">5.2 Trend Analysis and Predictions</w:t>
      </w:r>
    </w:p>
    <w:p>
      <w:pPr>
        <w:spacing w:after="120"/>
      </w:pPr>
      <w:r>
        <w:rPr>
          <w:rFonts w:ascii="Arial" w:cs="Arial" w:eastAsia="Arial" w:hAnsi="Arial"/>
          <w:sz w:val="22"/>
          <w:szCs w:val="22"/>
        </w:rPr>
        <w:t xml:space="preserve">Individual patient drill-down views display time-series charts for all monitored parameters over configurable lookback windows (1 hour, 4 hours, 12 hours, or full admission). Anomaly markers are overlaid on trend lines showing when and which thresholds were breached. ADX-powered predictive analytics project MEWS trajectory over the next 60 minutes based on current trend direction, enabling proactive intervention before deterioration becomes critical.</w:t>
      </w:r>
    </w:p>
    <w:p>
      <w:pPr>
        <w:spacing w:after="100"/>
      </w:pPr>
      <w:r>
        <w:t xml:space="preserve"/>
      </w:r>
    </w:p>
    <w:p>
      <w:pPr>
        <w:pStyle w:val="Heading2"/>
      </w:pPr>
      <w:r>
        <w:rPr>
          <w:rFonts w:ascii="Arial" w:cs="Arial" w:eastAsia="Arial" w:hAnsi="Arial"/>
          <w:b/>
          <w:bCs/>
          <w:color w:val="217346"/>
          <w:sz w:val="26"/>
          <w:szCs w:val="26"/>
        </w:rPr>
        <w:t xml:space="preserve">5.3 Alert History and Acknowledgments</w:t>
      </w:r>
    </w:p>
    <w:p>
      <w:pPr>
        <w:spacing w:after="120"/>
      </w:pPr>
      <w:r>
        <w:rPr>
          <w:rFonts w:ascii="Arial" w:cs="Arial" w:eastAsia="Arial" w:hAnsi="Arial"/>
          <w:sz w:val="22"/>
          <w:szCs w:val="22"/>
        </w:rPr>
        <w:t xml:space="preserve">A dedicated alert history panel provides a chronological log of all alerts generated during the current shift, with filtering by patient, parameter, severity, and acknowledgment status. Each alert record displays: generation timestamp, parameter and value, assigned clinician, acknowledgment time, action documented, and resolution status. This log supports quality review, handoff communication, and regulatory audit requirements.</w:t>
      </w:r>
    </w:p>
    <w:p>
      <w:pPr>
        <w:spacing w:after="100"/>
      </w:pPr>
      <w:r>
        <w:t xml:space="preserve"/>
      </w:r>
    </w:p>
    <w:p>
      <w:pPr>
        <w:pStyle w:val="Heading2"/>
      </w:pPr>
      <w:r>
        <w:rPr>
          <w:rFonts w:ascii="Arial" w:cs="Arial" w:eastAsia="Arial" w:hAnsi="Arial"/>
          <w:b/>
          <w:bCs/>
          <w:color w:val="217346"/>
          <w:sz w:val="26"/>
          <w:szCs w:val="26"/>
        </w:rPr>
        <w:t xml:space="preserve">5.4 System Performance Metrics</w:t>
      </w:r>
    </w:p>
    <w:p>
      <w:pPr>
        <w:spacing w:after="120"/>
      </w:pPr>
      <w:r>
        <w:rPr>
          <w:rFonts w:ascii="Arial" w:cs="Arial" w:eastAsia="Arial" w:hAnsi="Arial"/>
          <w:sz w:val="22"/>
          <w:szCs w:val="22"/>
        </w:rPr>
        <w:t xml:space="preserve">A system health dashboard monitors anomaly detection model performance in real time, displaying: false positive rate by parameter type, alert acknowledgment rate and average response time by severity tier, data stream latency and ingestion success rate per device type, and model drift indicators that trigger retraining workflows when performance degrades below defined thresholds.</w:t>
      </w:r>
    </w:p>
    <w:p>
      <w:pPr>
        <w:spacing w:after="100"/>
      </w:pPr>
      <w:r>
        <w:t xml:space="preserve"/>
      </w:r>
    </w:p>
    <w:p>
      <w:pPr>
        <w:pStyle w:val="Heading1"/>
      </w:pPr>
      <w:r>
        <w:rPr>
          <w:rFonts w:ascii="Arial" w:cs="Arial" w:eastAsia="Arial" w:hAnsi="Arial"/>
          <w:b/>
          <w:bCs/>
          <w:color w:val="1A4731"/>
          <w:sz w:val="32"/>
          <w:szCs w:val="32"/>
        </w:rPr>
        <w:t xml:space="preserve">6. Integration with Communication Systems</w:t>
      </w:r>
    </w:p>
    <w:p>
      <w:pPr>
        <w:spacing w:after="120"/>
      </w:pPr>
      <w:r>
        <w:rPr>
          <w:rFonts w:ascii="Arial" w:cs="Arial" w:eastAsia="Arial" w:hAnsi="Arial"/>
          <w:sz w:val="22"/>
          <w:szCs w:val="22"/>
        </w:rPr>
        <w:t xml:space="preserve">The alert and notification system integrates bidirectionally with the facility's clinical communication platform via REST API. Clinicians can acknowledge alerts, document response actions, and escalate or downgrade alert severity directly from their mobile devices without returning to a workstation. Acknowledgment events are written back to the ADX audit log and reflected on the Power BI dashboard within 10 seconds.</w:t>
      </w:r>
    </w:p>
    <w:p>
      <w:pPr>
        <w:spacing w:after="120"/>
      </w:pPr>
      <w:r>
        <w:rPr>
          <w:rFonts w:ascii="Arial" w:cs="Arial" w:eastAsia="Arial" w:hAnsi="Arial"/>
          <w:sz w:val="22"/>
          <w:szCs w:val="22"/>
        </w:rPr>
        <w:t xml:space="preserve">Integration with the EHR ensures that alert-triggered clinical responses — such as medication administration, order placement, or rapid response team activation — are automatically associated with the originating alert record for closed-loop documentation and outcome tracking.</w:t>
      </w:r>
    </w:p>
    <w:p>
      <w:pPr>
        <w:spacing w:after="100"/>
      </w:pPr>
      <w:r>
        <w:t xml:space="preserve"/>
      </w:r>
    </w:p>
    <w:p>
      <w:pPr>
        <w:pStyle w:val="Heading1"/>
      </w:pPr>
      <w:r>
        <w:rPr>
          <w:rFonts w:ascii="Arial" w:cs="Arial" w:eastAsia="Arial" w:hAnsi="Arial"/>
          <w:b/>
          <w:bCs/>
          <w:color w:val="1A4731"/>
          <w:sz w:val="32"/>
          <w:szCs w:val="32"/>
        </w:rPr>
        <w:t xml:space="preserve">7. Quality Assurance and Feedback Mechanisms</w:t>
      </w:r>
    </w:p>
    <w:p>
      <w:pPr>
        <w:spacing w:after="120"/>
      </w:pPr>
      <w:r>
        <w:rPr>
          <w:rFonts w:ascii="Arial" w:cs="Arial" w:eastAsia="Arial" w:hAnsi="Arial"/>
          <w:sz w:val="22"/>
          <w:szCs w:val="22"/>
        </w:rPr>
        <w:t xml:space="preserve">Continuous quality improvement is built into the monitoring system through structured feedback loops. Clinicians are prompted to classify each resolved alert as clinically significant, clinically insignificant but appropriate, or false positive. This feedback is collected anonymously and aggregated to generate monthly false positive rate reports by parameter, shift, and patient population segment.</w:t>
      </w:r>
    </w:p>
    <w:p>
      <w:pPr>
        <w:spacing w:after="120"/>
      </w:pPr>
      <w:r>
        <w:rPr>
          <w:rFonts w:ascii="Arial" w:cs="Arial" w:eastAsia="Arial" w:hAnsi="Arial"/>
          <w:sz w:val="22"/>
          <w:szCs w:val="22"/>
        </w:rPr>
        <w:t xml:space="preserve">Model retraining is triggered automatically when the false positive rate for any parameter exceeds 25% over a 30-day rolling window or when clinician feedback indicates systematic misclassification. Retraining uses a combination of production alert data with clinician-provided labels and updated reference ranges from published clinical guidelines. All model updates are validated in a staging environment with historical data before deployment to production, and version history is maintained for regulatory auditability.</w:t>
      </w:r>
    </w:p>
    <w:p>
      <w:pPr>
        <w:pStyle w:val="ListParagraph"/>
        <w:numPr>
          <w:ilvl w:val="0"/>
          <w:numId w:val="2"/>
        </w:numPr>
        <w:spacing w:after="80"/>
      </w:pPr>
      <w:r>
        <w:rPr>
          <w:rFonts w:ascii="Arial" w:cs="Arial" w:eastAsia="Arial" w:hAnsi="Arial"/>
          <w:sz w:val="22"/>
          <w:szCs w:val="22"/>
        </w:rPr>
        <w:t xml:space="preserve">Monthly Performance Reviews: Automated reports distributed to ED leadership covering alert volume, response times, escalation rates, and top false-positive parameters.</w:t>
      </w:r>
    </w:p>
    <w:p>
      <w:pPr>
        <w:pStyle w:val="ListParagraph"/>
        <w:numPr>
          <w:ilvl w:val="0"/>
          <w:numId w:val="2"/>
        </w:numPr>
        <w:spacing w:after="80"/>
      </w:pPr>
      <w:r>
        <w:rPr>
          <w:rFonts w:ascii="Arial" w:cs="Arial" w:eastAsia="Arial" w:hAnsi="Arial"/>
          <w:sz w:val="22"/>
          <w:szCs w:val="22"/>
        </w:rPr>
        <w:t xml:space="preserve">Quarterly Clinician Surveys: Structured satisfaction surveys assessing alert relevance, system usability, and workflow integration quality.</w:t>
      </w:r>
    </w:p>
    <w:p>
      <w:pPr>
        <w:pStyle w:val="ListParagraph"/>
        <w:numPr>
          <w:ilvl w:val="0"/>
          <w:numId w:val="2"/>
        </w:numPr>
        <w:spacing w:after="80"/>
      </w:pPr>
      <w:r>
        <w:rPr>
          <w:rFonts w:ascii="Arial" w:cs="Arial" w:eastAsia="Arial" w:hAnsi="Arial"/>
          <w:sz w:val="22"/>
          <w:szCs w:val="22"/>
        </w:rPr>
        <w:t xml:space="preserve">Annual External Audit: Independent clinical informatics review of anomaly detection thresholds, model performance, and alert pathway compliance.</w:t>
      </w:r>
    </w:p>
    <w:p>
      <w:pPr>
        <w:spacing w:after="100"/>
      </w:pPr>
      <w:r>
        <w:t xml:space="preserve"/>
      </w:r>
    </w:p>
    <w:p>
      <w:pPr>
        <w:pBdr>
          <w:top w:val="single" w:color="217346" w:sz="4" w:space="4"/>
        </w:pBdr>
        <w:spacing w:before="400"/>
        <w:jc w:val="center"/>
      </w:pPr>
      <w:r>
        <w:rPr>
          <w:rFonts w:ascii="Arial" w:cs="Arial" w:eastAsia="Arial" w:hAnsi="Arial"/>
          <w:i/>
          <w:iCs/>
          <w:color w:val="888888"/>
          <w:sz w:val="18"/>
          <w:szCs w:val="18"/>
        </w:rPr>
        <w:t xml:space="preserve">End of Component 2: AI-Powered Clinical Monitoring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7346"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7346" w:sz="6" w:space="1"/>
      </w:pBdr>
    </w:pPr>
    <w:r>
      <w:rPr>
        <w:rFonts w:ascii="Arial" w:cs="Arial" w:eastAsia="Arial" w:hAnsi="Arial"/>
        <w:color w:val="555555"/>
        <w:sz w:val="18"/>
        <w:szCs w:val="18"/>
      </w:rPr>
      <w:t xml:space="preserve">AI-Powered Clinical Workflow Automation  |  Component 2: Clinical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4731"/>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1734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2026-03-27T01:27:20.500Z</dcterms:created>
  <dcterms:modified xsi:type="dcterms:W3CDTF">2026-03-27T01:27:20.502Z</dcterms:modified>
</cp:coreProperties>
</file>

<file path=docProps/custom.xml><?xml version="1.0" encoding="utf-8"?>
<Properties xmlns="http://schemas.openxmlformats.org/officeDocument/2006/custom-properties" xmlns:vt="http://schemas.openxmlformats.org/officeDocument/2006/docPropsVTypes"/>
</file>