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Arial" w:cs="Arial" w:eastAsia="Arial" w:hAnsi="Arial"/>
          <w:b/>
          <w:bCs/>
          <w:color w:val="4A1A6B"/>
          <w:sz w:val="48"/>
          <w:szCs w:val="48"/>
        </w:rPr>
        <w:t xml:space="preserve">AI Ethics in Healthcare</w:t>
      </w:r>
    </w:p>
    <w:p>
      <w:pPr>
        <w:spacing w:after="400"/>
        <w:jc w:val="center"/>
      </w:pPr>
      <w:r>
        <w:rPr>
          <w:rFonts w:ascii="Arial" w:cs="Arial" w:eastAsia="Arial" w:hAnsi="Arial"/>
          <w:color w:val="555555"/>
          <w:sz w:val="22"/>
          <w:szCs w:val="22"/>
        </w:rPr>
        <w:t xml:space="preserve">Ethical Framework, Bias Mitigation, Transparency, Privacy, and Governance</w:t>
      </w:r>
    </w:p>
    <w:p>
      <w:pPr>
        <w:pStyle w:val="Heading1"/>
      </w:pPr>
      <w:r>
        <w:rPr>
          <w:rFonts w:ascii="Arial" w:cs="Arial" w:eastAsia="Arial" w:hAnsi="Arial"/>
          <w:b/>
          <w:bCs/>
          <w:color w:val="4A1A6B"/>
          <w:sz w:val="32"/>
          <w:szCs w:val="32"/>
        </w:rPr>
        <w:t xml:space="preserve">1. Ethical Framework for Clinical Automation</w:t>
      </w:r>
    </w:p>
    <w:p>
      <w:pPr>
        <w:pStyle w:val="Heading2"/>
      </w:pPr>
      <w:r>
        <w:rPr>
          <w:rFonts w:ascii="Arial" w:cs="Arial" w:eastAsia="Arial" w:hAnsi="Arial"/>
          <w:b/>
          <w:bCs/>
          <w:color w:val="7B2D8B"/>
          <w:sz w:val="26"/>
          <w:szCs w:val="26"/>
        </w:rPr>
        <w:t xml:space="preserve">1.1 Patient Safety Considerations</w:t>
      </w:r>
    </w:p>
    <w:p>
      <w:pPr>
        <w:spacing w:after="120"/>
      </w:pPr>
      <w:r>
        <w:rPr>
          <w:rFonts w:ascii="Arial" w:cs="Arial" w:eastAsia="Arial" w:hAnsi="Arial"/>
          <w:sz w:val="22"/>
          <w:szCs w:val="22"/>
        </w:rPr>
        <w:t xml:space="preserve">Patient safety is the foundational ethical obligation governing all design decisions in this AI system. Every automated component — documentation, monitoring, and decision support — is designed with the principle that AI augments but never supplants clinical judgment. No AI-generated output may be committed to the patient record, trigger a medication administration, or initiate a clinical intervention without explicit clinician review and authorization.</w:t>
      </w:r>
    </w:p>
    <w:p>
      <w:pPr>
        <w:spacing w:after="120"/>
      </w:pPr>
      <w:r>
        <w:rPr>
          <w:rFonts w:ascii="Arial" w:cs="Arial" w:eastAsia="Arial" w:hAnsi="Arial"/>
          <w:sz w:val="22"/>
          <w:szCs w:val="22"/>
        </w:rPr>
        <w:t xml:space="preserve">Safety by design is implemented at multiple levels: the documentation system requires mandatory clinician approval of all AI-generated content before EHR submission; the monitoring system's alert generation includes clinical context enrichment to reduce irrelevant notifications that contribute to alert fatigue and missed critical events; and all AI outputs are displayed with confidence indicators so clinicians can calibrate appropriate reliance on each recommendation.</w:t>
      </w:r>
    </w:p>
    <w:p>
      <w:pPr>
        <w:spacing w:after="100"/>
      </w:pPr>
      <w:r>
        <w:t xml:space="preserve"/>
      </w:r>
    </w:p>
    <w:p>
      <w:pPr>
        <w:pStyle w:val="Heading2"/>
      </w:pPr>
      <w:r>
        <w:rPr>
          <w:rFonts w:ascii="Arial" w:cs="Arial" w:eastAsia="Arial" w:hAnsi="Arial"/>
          <w:b/>
          <w:bCs/>
          <w:color w:val="7B2D8B"/>
          <w:sz w:val="26"/>
          <w:szCs w:val="26"/>
        </w:rPr>
        <w:t xml:space="preserve">1.2 Transparency and Explainability Requirements</w:t>
      </w:r>
    </w:p>
    <w:p>
      <w:pPr>
        <w:spacing w:after="120"/>
      </w:pPr>
      <w:r>
        <w:rPr>
          <w:rFonts w:ascii="Arial" w:cs="Arial" w:eastAsia="Arial" w:hAnsi="Arial"/>
          <w:sz w:val="22"/>
          <w:szCs w:val="22"/>
        </w:rPr>
        <w:t xml:space="preserve">Healthcare AI systems must be explainable to the clinicians who rely on them and to the patients whose care they influence. Explainability in this system is implemented at two layers. Technical explainability requires that each AI output be accompanied by a confidence score, the source data used to generate it, and — for clinical coding suggestions — the specific entities and relationships that drove the recommendation. Clinician-facing explainability requires that dashboards and review interfaces present AI outputs in plain clinical language, not statistical jargon, and that every alert or recommendation can be traced to a specific patient parameter or documented finding.</w:t>
      </w:r>
    </w:p>
    <w:p>
      <w:pPr>
        <w:spacing w:after="120"/>
      </w:pPr>
      <w:r>
        <w:rPr>
          <w:rFonts w:ascii="Arial" w:cs="Arial" w:eastAsia="Arial" w:hAnsi="Arial"/>
          <w:sz w:val="22"/>
          <w:szCs w:val="22"/>
        </w:rPr>
        <w:t xml:space="preserve">The system maintains a model card for each AI component, documenting intended use, known limitations, training data characteristics, performance benchmarks, and failure modes. These model cards are reviewed by the AI Ethics Committee at each model update and are available to clinical informaticists and compliance officers on request.</w:t>
      </w:r>
    </w:p>
    <w:p>
      <w:pPr>
        <w:spacing w:after="100"/>
      </w:pPr>
      <w:r>
        <w:t xml:space="preserve"/>
      </w:r>
    </w:p>
    <w:p>
      <w:pPr>
        <w:pStyle w:val="Heading2"/>
      </w:pPr>
      <w:r>
        <w:rPr>
          <w:rFonts w:ascii="Arial" w:cs="Arial" w:eastAsia="Arial" w:hAnsi="Arial"/>
          <w:b/>
          <w:bCs/>
          <w:color w:val="7B2D8B"/>
          <w:sz w:val="26"/>
          <w:szCs w:val="26"/>
        </w:rPr>
        <w:t xml:space="preserve">1.3 Human Oversight and Intervention Points</w:t>
      </w:r>
    </w:p>
    <w:p>
      <w:pPr>
        <w:spacing w:after="120"/>
      </w:pPr>
      <w:r>
        <w:rPr>
          <w:rFonts w:ascii="Arial" w:cs="Arial" w:eastAsia="Arial" w:hAnsi="Arial"/>
          <w:sz w:val="22"/>
          <w:szCs w:val="22"/>
        </w:rPr>
        <w:t xml:space="preserve">Human oversight is embedded at defined intervention points throughout every automated workflow. Clinicians retain the authority to reject, modify, or override any AI-generated output at any stage. Override actions are logged but never restricted. The system is designed so that a complete override of AI assistance at any point does not degrade the clinician's ability to complete the documentation or clinical task through conventional means — a principle of graceful degradation.</w:t>
      </w:r>
    </w:p>
    <w:p>
      <w:pPr>
        <w:pStyle w:val="ListParagraph"/>
        <w:numPr>
          <w:ilvl w:val="0"/>
          <w:numId w:val="2"/>
        </w:numPr>
        <w:spacing w:after="80"/>
      </w:pPr>
      <w:r>
        <w:rPr>
          <w:rFonts w:ascii="Arial" w:cs="Arial" w:eastAsia="Arial" w:hAnsi="Arial"/>
          <w:sz w:val="22"/>
          <w:szCs w:val="22"/>
        </w:rPr>
        <w:t xml:space="preserve">Documentation: Clinician section-level approval required before EHR submission; full rejection returns to manual dictation fallback.</w:t>
      </w:r>
    </w:p>
    <w:p>
      <w:pPr>
        <w:pStyle w:val="ListParagraph"/>
        <w:numPr>
          <w:ilvl w:val="0"/>
          <w:numId w:val="2"/>
        </w:numPr>
        <w:spacing w:after="80"/>
      </w:pPr>
      <w:r>
        <w:rPr>
          <w:rFonts w:ascii="Arial" w:cs="Arial" w:eastAsia="Arial" w:hAnsi="Arial"/>
          <w:sz w:val="22"/>
          <w:szCs w:val="22"/>
        </w:rPr>
        <w:t xml:space="preserve">Monitoring: All alert routing includes a clinician override to suppress, escalate, or reclassify alert severity; suppression requires a documented clinical reason.</w:t>
      </w:r>
    </w:p>
    <w:p>
      <w:pPr>
        <w:pStyle w:val="ListParagraph"/>
        <w:numPr>
          <w:ilvl w:val="0"/>
          <w:numId w:val="2"/>
        </w:numPr>
        <w:spacing w:after="80"/>
      </w:pPr>
      <w:r>
        <w:rPr>
          <w:rFonts w:ascii="Arial" w:cs="Arial" w:eastAsia="Arial" w:hAnsi="Arial"/>
          <w:sz w:val="22"/>
          <w:szCs w:val="22"/>
        </w:rPr>
        <w:t xml:space="preserve">Coding: AI-suggested codes are presented as draft suggestions; a certified coder or physician must confirm each code before billing submission.</w:t>
      </w:r>
    </w:p>
    <w:p>
      <w:pPr>
        <w:spacing w:after="100"/>
      </w:pPr>
      <w:r>
        <w:t xml:space="preserve"/>
      </w:r>
    </w:p>
    <w:p>
      <w:pPr>
        <w:pStyle w:val="Heading1"/>
      </w:pPr>
      <w:r>
        <w:rPr>
          <w:rFonts w:ascii="Arial" w:cs="Arial" w:eastAsia="Arial" w:hAnsi="Arial"/>
          <w:b/>
          <w:bCs/>
          <w:color w:val="4A1A6B"/>
          <w:sz w:val="32"/>
          <w:szCs w:val="32"/>
        </w:rPr>
        <w:t xml:space="preserve">2. Bias Detection and Mitigation Strategies</w:t>
      </w:r>
    </w:p>
    <w:p>
      <w:pPr>
        <w:pStyle w:val="Heading2"/>
      </w:pPr>
      <w:r>
        <w:rPr>
          <w:rFonts w:ascii="Arial" w:cs="Arial" w:eastAsia="Arial" w:hAnsi="Arial"/>
          <w:b/>
          <w:bCs/>
          <w:color w:val="7B2D8B"/>
          <w:sz w:val="26"/>
          <w:szCs w:val="26"/>
        </w:rPr>
        <w:t xml:space="preserve">2.1 Demographic Analysis of System Performance</w:t>
      </w:r>
    </w:p>
    <w:p>
      <w:pPr>
        <w:spacing w:after="120"/>
      </w:pPr>
      <w:r>
        <w:rPr>
          <w:rFonts w:ascii="Arial" w:cs="Arial" w:eastAsia="Arial" w:hAnsi="Arial"/>
          <w:sz w:val="22"/>
          <w:szCs w:val="22"/>
        </w:rPr>
        <w:t xml:space="preserve">Bias in healthcare AI poses direct patient safety risks: a system that performs with 95% accuracy overall but only 78% accuracy for patients of Asian or African descent creates inequitable care outcomes. This system implements continuous demographic parity monitoring as a core quality assurance function, not an optional add-on.</w:t>
      </w:r>
    </w:p>
    <w:p>
      <w:pPr>
        <w:spacing w:after="120"/>
      </w:pPr>
      <w:r>
        <w:rPr>
          <w:rFonts w:ascii="Arial" w:cs="Arial" w:eastAsia="Arial" w:hAnsi="Arial"/>
          <w:sz w:val="22"/>
          <w:szCs w:val="22"/>
        </w:rPr>
        <w:t xml:space="preserve">Performance metrics — transcription accuracy, entity extraction precision/recall, anomaly detection sensitivity and specificity, and alert response times — are disaggregated by patient demographic attributes including age group, self-identified race and ethnicity, primary language, sex, insurance status, and geographic region. Disaggregated metrics are reviewed monthly by the AI Ethics Committee and reported quarterly to institutional leadership.</w:t>
      </w:r>
    </w:p>
    <w:p>
      <w:pPr>
        <w:spacing w:after="100"/>
      </w:pPr>
      <w:r>
        <w:t xml:space="preserve"/>
      </w:r>
    </w:p>
    <w:p>
      <w:pPr>
        <w:pStyle w:val="Heading2"/>
      </w:pPr>
      <w:r>
        <w:rPr>
          <w:rFonts w:ascii="Arial" w:cs="Arial" w:eastAsia="Arial" w:hAnsi="Arial"/>
          <w:b/>
          <w:bCs/>
          <w:color w:val="7B2D8B"/>
          <w:sz w:val="26"/>
          <w:szCs w:val="26"/>
        </w:rPr>
        <w:t xml:space="preserve">2.2 Fairness Metrics Across Patient Populations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Demographic Parity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output rates (alert generation, coding suggestions, documentation approval) must not differ significantly across demographic groups without clinical justification</w:t>
            </w:r>
          </w:p>
        </w:tc>
      </w:tr>
      <w:tr>
        <w:tc>
          <w:tcPr>
            <w:tcW w:type="dxa" w:w="35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Equal Opportunity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True positive rates for anomaly detection and critical finding identification must be statistically equivalent across race, ethnicity, age, and sex subgroups</w:t>
            </w:r>
          </w:p>
        </w:tc>
      </w:tr>
      <w:tr>
        <w:tc>
          <w:tcPr>
            <w:tcW w:type="dxa" w:w="35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Predictive Parity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Confidence scores assigned to AI outputs must calibrate equally well across demographic groups — a 0.90 confidence score should mean the same thing regardless of patient demographics</w:t>
            </w:r>
          </w:p>
        </w:tc>
      </w:tr>
      <w:tr>
        <w:tc>
          <w:tcPr>
            <w:tcW w:type="dxa" w:w="35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Individual Fairness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Clinically similar patients should receive similar AI-assisted outputs regardless of demographic characteristics</w:t>
            </w:r>
          </w:p>
        </w:tc>
      </w:tr>
    </w:tbl>
    <w:p>
      <w:pPr>
        <w:spacing w:after="100"/>
      </w:pPr>
      <w:r>
        <w:t xml:space="preserve"/>
      </w:r>
    </w:p>
    <w:p>
      <w:pPr>
        <w:pStyle w:val="Heading2"/>
      </w:pPr>
      <w:r>
        <w:rPr>
          <w:rFonts w:ascii="Arial" w:cs="Arial" w:eastAsia="Arial" w:hAnsi="Arial"/>
          <w:b/>
          <w:bCs/>
          <w:color w:val="7B2D8B"/>
          <w:sz w:val="26"/>
          <w:szCs w:val="26"/>
        </w:rPr>
        <w:t xml:space="preserve">2.3 Correction Mechanisms for Identified Biases</w:t>
      </w:r>
    </w:p>
    <w:p>
      <w:pPr>
        <w:spacing w:after="120"/>
      </w:pPr>
      <w:r>
        <w:rPr>
          <w:rFonts w:ascii="Arial" w:cs="Arial" w:eastAsia="Arial" w:hAnsi="Arial"/>
          <w:sz w:val="22"/>
          <w:szCs w:val="22"/>
        </w:rPr>
        <w:t xml:space="preserve">When demographic performance disparities are detected, a structured remediation process is initiated. The affected model component is flagged for priority review. Root cause analysis examines training data representation, feature engineering practices, and model architecture for bias sources. Corrective actions may include targeted data augmentation with representative samples, reweighting of training examples from underrepresented groups, threshold adjustment for specific subpopulations pending retraining, and temporary human review escalation for affected patient groups until the model is remediated.</w:t>
      </w:r>
    </w:p>
    <w:p>
      <w:pPr>
        <w:spacing w:after="120"/>
      </w:pPr>
      <w:r>
        <w:rPr>
          <w:rFonts w:ascii="Arial" w:cs="Arial" w:eastAsia="Arial" w:hAnsi="Arial"/>
          <w:sz w:val="22"/>
          <w:szCs w:val="22"/>
        </w:rPr>
        <w:t xml:space="preserve">All bias incidents — detection events, root cause findings, remediation actions, and post-remediation performance data — are documented in the AI Ethics Incident Log and reported to the governance committee within 30 days of detection.</w:t>
      </w:r>
    </w:p>
    <w:p>
      <w:pPr>
        <w:spacing w:after="100"/>
      </w:pPr>
      <w:r>
        <w:t xml:space="preserve"/>
      </w:r>
    </w:p>
    <w:p>
      <w:pPr>
        <w:pStyle w:val="Heading1"/>
      </w:pPr>
      <w:r>
        <w:rPr>
          <w:rFonts w:ascii="Arial" w:cs="Arial" w:eastAsia="Arial" w:hAnsi="Arial"/>
          <w:b/>
          <w:bCs/>
          <w:color w:val="4A1A6B"/>
          <w:sz w:val="32"/>
          <w:szCs w:val="32"/>
        </w:rPr>
        <w:t xml:space="preserve">3. Transparency and Accountability Measures</w:t>
      </w:r>
    </w:p>
    <w:p>
      <w:pPr>
        <w:pStyle w:val="Heading2"/>
      </w:pPr>
      <w:r>
        <w:rPr>
          <w:rFonts w:ascii="Arial" w:cs="Arial" w:eastAsia="Arial" w:hAnsi="Arial"/>
          <w:b/>
          <w:bCs/>
          <w:color w:val="7B2D8B"/>
          <w:sz w:val="26"/>
          <w:szCs w:val="26"/>
        </w:rPr>
        <w:t xml:space="preserve">3.1 Audit Trail Requirements</w:t>
      </w:r>
    </w:p>
    <w:p>
      <w:pPr>
        <w:spacing w:after="120"/>
      </w:pPr>
      <w:r>
        <w:rPr>
          <w:rFonts w:ascii="Arial" w:cs="Arial" w:eastAsia="Arial" w:hAnsi="Arial"/>
          <w:sz w:val="22"/>
          <w:szCs w:val="22"/>
        </w:rPr>
        <w:t xml:space="preserve">Comprehensive audit trails are a regulatory and ethical requirement for clinical AI systems. In alignment with current healthcare AI transparency guidance — including the ONC's Health Data, Technology, and Interoperability (HTI-1) final rule requirements for decision support intervention transparency, and The Joint Commission's standards for clinical decision support accountability — this system maintains immutable audit logs for all AI-generated outputs, clinician interactions, and system decisions.</w:t>
      </w:r>
    </w:p>
    <w:p>
      <w:pPr>
        <w:spacing w:after="120"/>
      </w:pPr>
      <w:r>
        <w:rPr>
          <w:rFonts w:ascii="Arial" w:cs="Arial" w:eastAsia="Arial" w:hAnsi="Arial"/>
          <w:sz w:val="22"/>
          <w:szCs w:val="22"/>
        </w:rPr>
        <w:t xml:space="preserve">Each audit log entry captures: timestamp (UTC, millisecond precision), patient encounter identifier, AI component and model version, input data hash, output generated, confidence score, clinician identifier, action taken (approved/modified/rejected), modification details if applicable, and system performance metrics at time of generation. Audit logs are stored in append-only Azure Monitor Log Analytics workspaces with write-once, read-many access controls. Retention period is seven years in compliance with HIPAA medical record retention requirements. Logs are exportable in FHIR AuditEvent format for regulatory submission.</w:t>
      </w:r>
    </w:p>
    <w:p>
      <w:pPr>
        <w:spacing w:after="100"/>
      </w:pPr>
      <w:r>
        <w:t xml:space="preserve"/>
      </w:r>
    </w:p>
    <w:p>
      <w:pPr>
        <w:pStyle w:val="Heading2"/>
      </w:pPr>
      <w:r>
        <w:rPr>
          <w:rFonts w:ascii="Arial" w:cs="Arial" w:eastAsia="Arial" w:hAnsi="Arial"/>
          <w:b/>
          <w:bCs/>
          <w:color w:val="7B2D8B"/>
          <w:sz w:val="26"/>
          <w:szCs w:val="26"/>
        </w:rPr>
        <w:t xml:space="preserve">3.2 Performance Monitoring Dashboards</w:t>
      </w:r>
    </w:p>
    <w:p>
      <w:pPr>
        <w:spacing w:after="120"/>
      </w:pPr>
      <w:r>
        <w:rPr>
          <w:rFonts w:ascii="Arial" w:cs="Arial" w:eastAsia="Arial" w:hAnsi="Arial"/>
          <w:sz w:val="22"/>
          <w:szCs w:val="22"/>
        </w:rPr>
        <w:t xml:space="preserve">Real-time performance monitoring dashboards are accessible to clinical informaticists, compliance officers, and the AI Ethics Committee. Dashboards display: overall and demographic-disaggregated accuracy metrics updated daily; model drift indicators with automated alerts when performance degrades below defined thresholds; audit log query interface for investigation of specific incidents; clinician override rate trends as an indicator of system trust and accuracy; and comparison of current model performance against validated baseline benchmarks established at deployment.</w:t>
      </w:r>
    </w:p>
    <w:p>
      <w:pPr>
        <w:spacing w:after="100"/>
      </w:pPr>
      <w:r>
        <w:t xml:space="preserve"/>
      </w:r>
    </w:p>
    <w:p>
      <w:pPr>
        <w:pStyle w:val="Heading2"/>
      </w:pPr>
      <w:r>
        <w:rPr>
          <w:rFonts w:ascii="Arial" w:cs="Arial" w:eastAsia="Arial" w:hAnsi="Arial"/>
          <w:b/>
          <w:bCs/>
          <w:color w:val="7B2D8B"/>
          <w:sz w:val="26"/>
          <w:szCs w:val="26"/>
        </w:rPr>
        <w:t xml:space="preserve">3.3 Clinician Override Capabilities</w:t>
      </w:r>
    </w:p>
    <w:p>
      <w:pPr>
        <w:spacing w:after="120"/>
      </w:pPr>
      <w:r>
        <w:rPr>
          <w:rFonts w:ascii="Arial" w:cs="Arial" w:eastAsia="Arial" w:hAnsi="Arial"/>
          <w:sz w:val="22"/>
          <w:szCs w:val="22"/>
        </w:rPr>
        <w:t xml:space="preserve">Clinicians have unrestricted authority to override any AI output at any time without administrative approval or mandatory justification (though documented reasons are encouraged and incentivized through quality improvement programs). Override interfaces are designed to be frictionless — no multi-step confirmation dialogs, no warnings implying that overriding is inadvisable. The system treats overrides as valuable feedback signals, not exceptions to be minimized. Override patterns are analyzed monthly to identify systematic AI failures and inform model improvement priorities.</w:t>
      </w:r>
    </w:p>
    <w:p>
      <w:pPr>
        <w:spacing w:after="100"/>
      </w:pPr>
      <w:r>
        <w:t xml:space="preserve"/>
      </w:r>
    </w:p>
    <w:p>
      <w:pPr>
        <w:pStyle w:val="Heading1"/>
      </w:pPr>
      <w:r>
        <w:rPr>
          <w:rFonts w:ascii="Arial" w:cs="Arial" w:eastAsia="Arial" w:hAnsi="Arial"/>
          <w:b/>
          <w:bCs/>
          <w:color w:val="4A1A6B"/>
          <w:sz w:val="32"/>
          <w:szCs w:val="32"/>
        </w:rPr>
        <w:t xml:space="preserve">4. Data Privacy and Security Controls</w:t>
      </w:r>
    </w:p>
    <w:p>
      <w:pPr>
        <w:pStyle w:val="Heading2"/>
      </w:pPr>
      <w:r>
        <w:rPr>
          <w:rFonts w:ascii="Arial" w:cs="Arial" w:eastAsia="Arial" w:hAnsi="Arial"/>
          <w:b/>
          <w:bCs/>
          <w:color w:val="7B2D8B"/>
          <w:sz w:val="26"/>
          <w:szCs w:val="26"/>
        </w:rPr>
        <w:t xml:space="preserve">4.1 HIPAA Compliance Measures</w:t>
      </w:r>
    </w:p>
    <w:p>
      <w:pPr>
        <w:spacing w:after="120"/>
      </w:pPr>
      <w:r>
        <w:rPr>
          <w:rFonts w:ascii="Arial" w:cs="Arial" w:eastAsia="Arial" w:hAnsi="Arial"/>
          <w:sz w:val="22"/>
          <w:szCs w:val="22"/>
        </w:rPr>
        <w:t xml:space="preserve">All Protected Health Information (PHI) processed by the AI system is subject to HIPAA Privacy and Security Rule requirements. The facility's HIPAA compliance program covers AI-specific obligations including: Business Associate Agreements (BAAs) executed with all Azure AI service providers; minimum necessary access controls limiting AI model access to only the data fields required for each specific function; de-identification of data used for model training and quality analysis using Safe Harbor or Expert Determination methods; and annual workforce training on AI-specific PHI handling requirements.</w:t>
      </w:r>
    </w:p>
    <w:p>
      <w:pPr>
        <w:spacing w:after="100"/>
      </w:pPr>
      <w:r>
        <w:t xml:space="preserve"/>
      </w:r>
    </w:p>
    <w:p>
      <w:pPr>
        <w:pStyle w:val="Heading2"/>
      </w:pPr>
      <w:r>
        <w:rPr>
          <w:rFonts w:ascii="Arial" w:cs="Arial" w:eastAsia="Arial" w:hAnsi="Arial"/>
          <w:b/>
          <w:bCs/>
          <w:color w:val="7B2D8B"/>
          <w:sz w:val="26"/>
          <w:szCs w:val="26"/>
        </w:rPr>
        <w:t xml:space="preserve">4.2 Data Encryption and Access Controls</w:t>
      </w:r>
    </w:p>
    <w:p>
      <w:pPr>
        <w:pStyle w:val="ListParagraph"/>
        <w:numPr>
          <w:ilvl w:val="0"/>
          <w:numId w:val="2"/>
        </w:numPr>
        <w:spacing w:after="80"/>
      </w:pPr>
      <w:r>
        <w:rPr>
          <w:rFonts w:ascii="Arial" w:cs="Arial" w:eastAsia="Arial" w:hAnsi="Arial"/>
          <w:sz w:val="22"/>
          <w:szCs w:val="22"/>
        </w:rPr>
        <w:t xml:space="preserve">Encryption at Rest: All PHI stored in Azure Data Explorer, Azure Storage, and Log Analytics is encrypted using AES-256; encryption keys managed in Azure Key Vault with Hardware Security Module (HSM) backing.</w:t>
      </w:r>
    </w:p>
    <w:p>
      <w:pPr>
        <w:pStyle w:val="ListParagraph"/>
        <w:numPr>
          <w:ilvl w:val="0"/>
          <w:numId w:val="2"/>
        </w:numPr>
        <w:spacing w:after="80"/>
      </w:pPr>
      <w:r>
        <w:rPr>
          <w:rFonts w:ascii="Arial" w:cs="Arial" w:eastAsia="Arial" w:hAnsi="Arial"/>
          <w:sz w:val="22"/>
          <w:szCs w:val="22"/>
        </w:rPr>
        <w:t xml:space="preserve">Encryption in Transit: All data transmission uses TLS 1.3; certificate pinning is implemented for mobile clinical communication applications.</w:t>
      </w:r>
    </w:p>
    <w:p>
      <w:pPr>
        <w:pStyle w:val="ListParagraph"/>
        <w:numPr>
          <w:ilvl w:val="0"/>
          <w:numId w:val="2"/>
        </w:numPr>
        <w:spacing w:after="80"/>
      </w:pPr>
      <w:r>
        <w:rPr>
          <w:rFonts w:ascii="Arial" w:cs="Arial" w:eastAsia="Arial" w:hAnsi="Arial"/>
          <w:sz w:val="22"/>
          <w:szCs w:val="22"/>
        </w:rPr>
        <w:t xml:space="preserve">Access Controls: Role-Based Access Control (RBAC) enforced through Azure Active Directory; separation of duties between clinical roles, coding roles, and IT administration; privileged identity management for administrative access with just-in-time provisioning.</w:t>
      </w:r>
    </w:p>
    <w:p>
      <w:pPr>
        <w:pStyle w:val="ListParagraph"/>
        <w:numPr>
          <w:ilvl w:val="0"/>
          <w:numId w:val="2"/>
        </w:numPr>
        <w:spacing w:after="80"/>
      </w:pPr>
      <w:r>
        <w:rPr>
          <w:rFonts w:ascii="Arial" w:cs="Arial" w:eastAsia="Arial" w:hAnsi="Arial"/>
          <w:sz w:val="22"/>
          <w:szCs w:val="22"/>
        </w:rPr>
        <w:t xml:space="preserve">Multi-Factor Authentication: MFA required for all users accessing AI systems; biometric or hardware token authentication required for roles with access to bulk PHI.</w:t>
      </w:r>
    </w:p>
    <w:p>
      <w:pPr>
        <w:pStyle w:val="ListParagraph"/>
        <w:numPr>
          <w:ilvl w:val="0"/>
          <w:numId w:val="2"/>
        </w:numPr>
        <w:spacing w:after="80"/>
      </w:pPr>
      <w:r>
        <w:rPr>
          <w:rFonts w:ascii="Arial" w:cs="Arial" w:eastAsia="Arial" w:hAnsi="Arial"/>
          <w:sz w:val="22"/>
          <w:szCs w:val="22"/>
        </w:rPr>
        <w:t xml:space="preserve">Network Security: AI service endpoints are restricted to facility network ranges via Azure Private Link; public internet access to PHI-containing services is blocked.</w:t>
      </w:r>
    </w:p>
    <w:p>
      <w:pPr>
        <w:spacing w:after="100"/>
      </w:pPr>
      <w:r>
        <w:t xml:space="preserve"/>
      </w:r>
    </w:p>
    <w:p>
      <w:pPr>
        <w:pStyle w:val="Heading2"/>
      </w:pPr>
      <w:r>
        <w:rPr>
          <w:rFonts w:ascii="Arial" w:cs="Arial" w:eastAsia="Arial" w:hAnsi="Arial"/>
          <w:b/>
          <w:bCs/>
          <w:color w:val="7B2D8B"/>
          <w:sz w:val="26"/>
          <w:szCs w:val="26"/>
        </w:rPr>
        <w:t xml:space="preserve">4.3 Patient Consent Management</w:t>
      </w:r>
    </w:p>
    <w:p>
      <w:pPr>
        <w:spacing w:after="120"/>
      </w:pPr>
      <w:r>
        <w:rPr>
          <w:rFonts w:ascii="Arial" w:cs="Arial" w:eastAsia="Arial" w:hAnsi="Arial"/>
          <w:sz w:val="22"/>
          <w:szCs w:val="22"/>
        </w:rPr>
        <w:t xml:space="preserve">Patients are informed of AI-assisted documentation and monitoring as part of the standard facility consent process, with specific language added to the admission consent form describing: the types of AI tools used in their care, what data is processed by AI systems, the role of clinician oversight, their right to request human-only documentation if desired, and how AI system performance is monitored to ensure equitable care. Consent preferences are recorded in the EHR and flagged to the AI system to modify processing workflows where patient opt-outs are applicable under applicable regulations.</w:t>
      </w:r>
    </w:p>
    <w:p>
      <w:pPr>
        <w:spacing w:after="100"/>
      </w:pPr>
      <w:r>
        <w:t xml:space="preserve"/>
      </w:r>
    </w:p>
    <w:p>
      <w:pPr>
        <w:pStyle w:val="Heading1"/>
      </w:pPr>
      <w:r>
        <w:rPr>
          <w:rFonts w:ascii="Arial" w:cs="Arial" w:eastAsia="Arial" w:hAnsi="Arial"/>
          <w:b/>
          <w:bCs/>
          <w:color w:val="4A1A6B"/>
          <w:sz w:val="32"/>
          <w:szCs w:val="32"/>
        </w:rPr>
        <w:t xml:space="preserve">5. Governance and Oversight Recommendations</w:t>
      </w:r>
    </w:p>
    <w:p>
      <w:pPr>
        <w:pStyle w:val="Heading2"/>
      </w:pPr>
      <w:r>
        <w:rPr>
          <w:rFonts w:ascii="Arial" w:cs="Arial" w:eastAsia="Arial" w:hAnsi="Arial"/>
          <w:b/>
          <w:bCs/>
          <w:color w:val="7B2D8B"/>
          <w:sz w:val="26"/>
          <w:szCs w:val="26"/>
        </w:rPr>
        <w:t xml:space="preserve">5.1 AI Ethics Committee Structure</w:t>
      </w:r>
    </w:p>
    <w:p>
      <w:pPr>
        <w:spacing w:after="120"/>
      </w:pPr>
      <w:r>
        <w:rPr>
          <w:rFonts w:ascii="Arial" w:cs="Arial" w:eastAsia="Arial" w:hAnsi="Arial"/>
          <w:sz w:val="22"/>
          <w:szCs w:val="22"/>
        </w:rPr>
        <w:t xml:space="preserve">A dedicated AI Ethics Committee is established with cross-functional membership to provide independent oversight of all clinical AI systems. The committee operates with formal charter, defined authority, and direct reporting to the facility's Board Quality Committee.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Chief Medical Officer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Committee Chair; clinical authority and strategic alignment</w:t>
            </w:r>
          </w:p>
        </w:tc>
      </w:tr>
      <w:tr>
        <w:tc>
          <w:tcPr>
            <w:tcW w:type="dxa" w:w="40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Chief Nursing Officer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Nursing workflow and patient safety representation</w:t>
            </w:r>
          </w:p>
        </w:tc>
      </w:tr>
      <w:tr>
        <w:tc>
          <w:tcPr>
            <w:tcW w:type="dxa" w:w="40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Chief Information Officer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Technical infrastructure and security oversight</w:t>
            </w:r>
          </w:p>
        </w:tc>
      </w:tr>
      <w:tr>
        <w:tc>
          <w:tcPr>
            <w:tcW w:type="dxa" w:w="40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Clinical Informatics Director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system performance and integration</w:t>
            </w:r>
          </w:p>
        </w:tc>
      </w:tr>
      <w:tr>
        <w:tc>
          <w:tcPr>
            <w:tcW w:type="dxa" w:w="40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Compliance Officer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Regulatory and HIPAA compliance</w:t>
            </w:r>
          </w:p>
        </w:tc>
      </w:tr>
      <w:tr>
        <w:tc>
          <w:tcPr>
            <w:tcW w:type="dxa" w:w="40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Patient Advocate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Patient perspective and consent process oversight</w:t>
            </w:r>
          </w:p>
        </w:tc>
      </w:tr>
      <w:tr>
        <w:tc>
          <w:tcPr>
            <w:tcW w:type="dxa" w:w="40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External AI Ethics Expert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Independent perspective; bias and fairness expertise</w:t>
            </w:r>
          </w:p>
        </w:tc>
      </w:tr>
      <w:tr>
        <w:tc>
          <w:tcPr>
            <w:tcW w:type="dxa" w:w="40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Clinical Staff Representatives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 rotating members (physician + nurse) from active AI-supported units</w:t>
            </w:r>
          </w:p>
        </w:tc>
      </w:tr>
    </w:tbl>
    <w:p>
      <w:pPr>
        <w:spacing w:after="100"/>
      </w:pPr>
      <w:r>
        <w:t xml:space="preserve"/>
      </w:r>
    </w:p>
    <w:p>
      <w:pPr>
        <w:pStyle w:val="Heading2"/>
      </w:pPr>
      <w:r>
        <w:rPr>
          <w:rFonts w:ascii="Arial" w:cs="Arial" w:eastAsia="Arial" w:hAnsi="Arial"/>
          <w:b/>
          <w:bCs/>
          <w:color w:val="7B2D8B"/>
          <w:sz w:val="26"/>
          <w:szCs w:val="26"/>
        </w:rPr>
        <w:t xml:space="preserve">5.2 Review and Approval Processes</w:t>
      </w:r>
    </w:p>
    <w:p>
      <w:pPr>
        <w:pStyle w:val="ListParagraph"/>
        <w:numPr>
          <w:ilvl w:val="0"/>
          <w:numId w:val="2"/>
        </w:numPr>
        <w:spacing w:after="80"/>
      </w:pPr>
      <w:r>
        <w:rPr>
          <w:rFonts w:ascii="Arial" w:cs="Arial" w:eastAsia="Arial" w:hAnsi="Arial"/>
          <w:sz w:val="22"/>
          <w:szCs w:val="22"/>
        </w:rPr>
        <w:t xml:space="preserve">New AI Component Deployment: Full committee review required, including model card review, bias analysis, clinician testing results, and security assessment before any production deployment.</w:t>
      </w:r>
    </w:p>
    <w:p>
      <w:pPr>
        <w:pStyle w:val="ListParagraph"/>
        <w:numPr>
          <w:ilvl w:val="0"/>
          <w:numId w:val="2"/>
        </w:numPr>
        <w:spacing w:after="80"/>
      </w:pPr>
      <w:r>
        <w:rPr>
          <w:rFonts w:ascii="Arial" w:cs="Arial" w:eastAsia="Arial" w:hAnsi="Arial"/>
          <w:sz w:val="22"/>
          <w:szCs w:val="22"/>
        </w:rPr>
        <w:t xml:space="preserve">Model Updates: Expedited review for minor updates (accuracy improvements without architecture changes); full review for model architecture changes, training data changes, or new use case expansions.</w:t>
      </w:r>
    </w:p>
    <w:p>
      <w:pPr>
        <w:pStyle w:val="ListParagraph"/>
        <w:numPr>
          <w:ilvl w:val="0"/>
          <w:numId w:val="2"/>
        </w:numPr>
        <w:spacing w:after="80"/>
      </w:pPr>
      <w:r>
        <w:rPr>
          <w:rFonts w:ascii="Arial" w:cs="Arial" w:eastAsia="Arial" w:hAnsi="Arial"/>
          <w:sz w:val="22"/>
          <w:szCs w:val="22"/>
        </w:rPr>
        <w:t xml:space="preserve">Bias Incident Review: Committee convened within 14 days of any reported demographic performance disparity exceeding defined thresholds; remediation plan approval required before model remains in production.</w:t>
      </w:r>
    </w:p>
    <w:p>
      <w:pPr>
        <w:pStyle w:val="ListParagraph"/>
        <w:numPr>
          <w:ilvl w:val="0"/>
          <w:numId w:val="2"/>
        </w:numPr>
        <w:spacing w:after="80"/>
      </w:pPr>
      <w:r>
        <w:rPr>
          <w:rFonts w:ascii="Arial" w:cs="Arial" w:eastAsia="Arial" w:hAnsi="Arial"/>
          <w:sz w:val="22"/>
          <w:szCs w:val="22"/>
        </w:rPr>
        <w:t xml:space="preserve">Annual Comprehensive Review: Full system audit covering all AI components, demographic performance data, audit log analysis, clinician satisfaction data, patient safety incident review, and regulatory compliance assessment.</w:t>
      </w:r>
    </w:p>
    <w:p>
      <w:pPr>
        <w:spacing w:after="100"/>
      </w:pPr>
      <w:r>
        <w:t xml:space="preserve"/>
      </w:r>
    </w:p>
    <w:p>
      <w:pPr>
        <w:pStyle w:val="Heading2"/>
      </w:pPr>
      <w:r>
        <w:rPr>
          <w:rFonts w:ascii="Arial" w:cs="Arial" w:eastAsia="Arial" w:hAnsi="Arial"/>
          <w:b/>
          <w:bCs/>
          <w:color w:val="7B2D8B"/>
          <w:sz w:val="26"/>
          <w:szCs w:val="26"/>
        </w:rPr>
        <w:t xml:space="preserve">5.3 Continuous Monitoring Protocols</w:t>
      </w:r>
    </w:p>
    <w:p>
      <w:pPr>
        <w:spacing w:after="120"/>
      </w:pPr>
      <w:r>
        <w:rPr>
          <w:rFonts w:ascii="Arial" w:cs="Arial" w:eastAsia="Arial" w:hAnsi="Arial"/>
          <w:sz w:val="22"/>
          <w:szCs w:val="22"/>
        </w:rPr>
        <w:t xml:space="preserve">Governance is not a point-in-time activity but a continuous operational function. The following monitoring protocols operate on defined cycles to ensure ongoing ethical compliance and system integrity throughout the AI system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Daily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Automated performance metric review; anomaly detection model drift monitoring; data ingestion integrity checks</w:t>
            </w:r>
          </w:p>
        </w:tc>
      </w:tr>
      <w:tr>
        <w:tc>
          <w:tcPr>
            <w:tcW w:type="dxa" w:w="35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Weekly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Audit log sampling review by compliance officer; alert false positive rate trending; clinician override rate monitoring</w:t>
            </w:r>
          </w:p>
        </w:tc>
      </w:tr>
      <w:tr>
        <w:tc>
          <w:tcPr>
            <w:tcW w:type="dxa" w:w="35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Monthly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Demographic performance disaggregation report; bias indicator review; model retraining assessment; clinician feedback analysis</w:t>
            </w:r>
          </w:p>
        </w:tc>
      </w:tr>
      <w:tr>
        <w:tc>
          <w:tcPr>
            <w:tcW w:type="dxa" w:w="35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Quarterly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Clinician satisfaction survey; ethics committee meeting; regulatory update review; patient consent process audit</w:t>
            </w:r>
          </w:p>
        </w:tc>
      </w:tr>
      <w:tr>
        <w:tc>
          <w:tcPr>
            <w:tcW w:type="dxa" w:w="3500"/>
            <w:tcBorders>
              <w:top w:val="single" w:color="CCCCCC" w:sz="1"/>
              <w:left w:val="single" w:color="CCCCCC" w:sz="1"/>
              <w:bottom w:val="single" w:color="CCCCCC" w:sz="1"/>
              <w:right w:val="single" w:color="CCCCCC" w:sz="1"/>
            </w:tcBorders>
            <w:shd w:fill="EDD9F7" w:val="clear"/>
            <w:tcMar>
              <w:top w:type="dxa" w:w="80"/>
              <w:left w:type="dxa" w:w="120"/>
              <w:bottom w:type="dxa" w:w="80"/>
              <w:right w:type="dxa" w:w="120"/>
            </w:tcMar>
          </w:tcPr>
          <w:p>
            <w:r>
              <w:rPr>
                <w:rFonts w:ascii="Arial" w:cs="Arial" w:eastAsia="Arial" w:hAnsi="Arial"/>
                <w:b/>
                <w:bCs/>
                <w:sz w:val="20"/>
                <w:szCs w:val="20"/>
              </w:rPr>
              <w:t xml:space="preserve">Annually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External AI ethics audit; comprehensive bias assessment; model card updates; Board Quality Committee reporting; HIPAA risk assessment refresh</w:t>
            </w:r>
          </w:p>
        </w:tc>
      </w:tr>
    </w:tbl>
    <w:p>
      <w:pPr>
        <w:spacing w:after="100"/>
      </w:pPr>
      <w:r>
        <w:t xml:space="preserve"/>
      </w:r>
    </w:p>
    <w:p>
      <w:pPr>
        <w:pBdr>
          <w:top w:val="single" w:color="7B2D8B" w:sz="4" w:space="4"/>
        </w:pBdr>
        <w:spacing w:before="400"/>
        <w:jc w:val="center"/>
      </w:pPr>
      <w:r>
        <w:rPr>
          <w:rFonts w:ascii="Arial" w:cs="Arial" w:eastAsia="Arial" w:hAnsi="Arial"/>
          <w:i/>
          <w:iCs/>
          <w:color w:val="888888"/>
          <w:sz w:val="18"/>
          <w:szCs w:val="18"/>
        </w:rPr>
        <w:t xml:space="preserve">End of Component 3: AI Ethics in Healthcare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7B2D8B" w:sz="6" w:space="1"/>
      </w:pBdr>
      <w:jc w:val="right"/>
    </w:pPr>
    <w:r>
      <w:rPr>
        <w:rFonts w:ascii="Arial" w:cs="Arial" w:eastAsia="Arial" w:hAnsi="Arial"/>
        <w:color w:val="555555"/>
        <w:sz w:val="18"/>
        <w:szCs w:val="18"/>
      </w:rPr>
      <w:t xml:space="preserve">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B" w:sz="6" w:space="1"/>
      </w:pBdr>
    </w:pPr>
    <w:r>
      <w:rPr>
        <w:rFonts w:ascii="Arial" w:cs="Arial" w:eastAsia="Arial" w:hAnsi="Arial"/>
        <w:color w:val="555555"/>
        <w:sz w:val="18"/>
        <w:szCs w:val="18"/>
      </w:rPr>
      <w:t xml:space="preserve">AI-Powered Clinical Workflow Automation  |  Component 3: AI Ethics in Healthcare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4A1A6B"/>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7B2D8B"/>
      <w:sz w:val="26"/>
      <w:szCs w:val="26"/>
    </w:rPr>
  </w:style>
  <w:style w:type="paragraph" w:styleId="Heading3">
    <w:name w:val="Heading 3"/>
    <w:basedOn w:val="Normal"/>
    <w:next w:val="Normal"/>
    <w:qFormat/>
    <w:pPr>
      <w:spacing w:after="120" w:before="18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2026-03-27T01:28:48.680Z</dcterms:created>
  <dcterms:modified xsi:type="dcterms:W3CDTF">2026-03-27T01:28:48.681Z</dcterms:modified>
</cp:coreProperties>
</file>

<file path=docProps/custom.xml><?xml version="1.0" encoding="utf-8"?>
<Properties xmlns="http://schemas.openxmlformats.org/officeDocument/2006/custom-properties" xmlns:vt="http://schemas.openxmlformats.org/officeDocument/2006/docPropsVTypes"/>
</file>