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Segoe UI" w:cs="Segoe UI" w:eastAsia="Segoe UI" w:hAnsi="Segoe UI"/>
          <w:b/>
          <w:bCs/>
          <w:i w:val="false"/>
          <w:iCs w:val="false"/>
          <w:color w:val="1A365D"/>
          <w:sz w:val="34"/>
          <w:szCs w:val="34"/>
        </w:rPr>
        <w:t xml:space="preserve">Architecture Decision Record (ADR)</w:t>
      </w:r>
    </w:p>
    <w:p>
      <w:pPr>
        <w:pBdr>
          <w:bottom w:val="single" w:color="1A365D" w:sz="12" w:space="6"/>
        </w:pBdr>
        <w:spacing w:after="240"/>
      </w:pPr>
      <w:r>
        <w:rPr>
          <w:rFonts w:ascii="Segoe UI" w:cs="Segoe UI" w:eastAsia="Segoe UI" w:hAnsi="Segoe UI"/>
          <w:b w:val="false"/>
          <w:bCs w:val="false"/>
          <w:i w:val="false"/>
          <w:iCs w:val="false"/>
          <w:color w:val="4A5568"/>
          <w:sz w:val="20"/>
          <w:szCs w:val="20"/>
        </w:rPr>
        <w:t xml:space="preserve">Contoso Financial Service  •  GenAI Knowledge Assistant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F7FAFC" w:color="auto" w:val="clear"/>
            <w:tcMar>
              <w:top w:type="dxa" w:w="80"/>
              <w:left w:type="dxa" w:w="110"/>
              <w:bottom w:type="dxa" w:w="80"/>
              <w:right w:type="dxa" w:w="110"/>
            </w:tcMar>
          </w:tcPr>
          <w:p>
            <w:pPr>
              <w:spacing w:after="0" w:before="0"/>
            </w:pPr>
            <w:r>
              <w:rPr>
                <w:rFonts w:ascii="Segoe UI" w:cs="Segoe UI" w:eastAsia="Segoe UI" w:hAnsi="Segoe UI"/>
                <w:b/>
                <w:bCs/>
                <w:i w:val="false"/>
                <w:iCs w:val="false"/>
                <w:color w:val="1A365D"/>
                <w:sz w:val="17"/>
                <w:szCs w:val="17"/>
              </w:rPr>
              <w:t xml:space="preserve">Document ID Reference</w:t>
            </w:r>
          </w:p>
        </w:tc>
        <w:tc>
          <w:tcPr>
            <w:tcW w:type="dxa" w:w="7480"/>
            <w:tcMar>
              <w:top w:type="dxa" w:w="80"/>
              <w:left w:type="dxa" w:w="110"/>
              <w:bottom w:type="dxa" w:w="80"/>
              <w:right w:type="dxa" w:w="110"/>
            </w:tcMar>
          </w:tcPr>
          <w:p>
            <w:pPr>
              <w:spacing w:after="0" w:before="0"/>
            </w:pPr>
            <w:r>
              <w:rPr>
                <w:rFonts w:ascii="Segoe UI" w:cs="Segoe UI" w:eastAsia="Segoe UI" w:hAnsi="Segoe UI"/>
                <w:b w:val="false"/>
                <w:bCs w:val="false"/>
                <w:i w:val="false"/>
                <w:iCs w:val="false"/>
                <w:color w:val="000000"/>
                <w:sz w:val="17"/>
                <w:szCs w:val="17"/>
              </w:rPr>
              <w:t xml:space="preserve">ADR-001</w:t>
            </w:r>
          </w:p>
        </w:tc>
      </w:tr>
      <w:tr>
        <w:tc>
          <w:tcPr>
            <w:tcW w:type="dxa" w:w="2600"/>
            <w:shd w:fill="F7FAFC" w:color="auto" w:val="clear"/>
            <w:tcMar>
              <w:top w:type="dxa" w:w="80"/>
              <w:left w:type="dxa" w:w="110"/>
              <w:bottom w:type="dxa" w:w="80"/>
              <w:right w:type="dxa" w:w="110"/>
            </w:tcMar>
          </w:tcPr>
          <w:p>
            <w:pPr>
              <w:spacing w:after="0" w:before="0"/>
            </w:pPr>
            <w:r>
              <w:rPr>
                <w:rFonts w:ascii="Segoe UI" w:cs="Segoe UI" w:eastAsia="Segoe UI" w:hAnsi="Segoe UI"/>
                <w:b/>
                <w:bCs/>
                <w:i w:val="false"/>
                <w:iCs w:val="false"/>
                <w:color w:val="1A365D"/>
                <w:sz w:val="17"/>
                <w:szCs w:val="17"/>
              </w:rPr>
              <w:t xml:space="preserve">Title</w:t>
            </w:r>
          </w:p>
        </w:tc>
        <w:tc>
          <w:tcPr>
            <w:tcW w:type="dxa" w:w="7480"/>
            <w:tcMar>
              <w:top w:type="dxa" w:w="80"/>
              <w:left w:type="dxa" w:w="110"/>
              <w:bottom w:type="dxa" w:w="80"/>
              <w:right w:type="dxa" w:w="110"/>
            </w:tcMar>
          </w:tcPr>
          <w:p>
            <w:pPr>
              <w:spacing w:after="0" w:before="0"/>
            </w:pPr>
            <w:r>
              <w:rPr>
                <w:rFonts w:ascii="Segoe UI" w:cs="Segoe UI" w:eastAsia="Segoe UI" w:hAnsi="Segoe UI"/>
                <w:b w:val="false"/>
                <w:bCs w:val="false"/>
                <w:i w:val="false"/>
                <w:iCs w:val="false"/>
                <w:color w:val="000000"/>
                <w:sz w:val="17"/>
                <w:szCs w:val="17"/>
              </w:rPr>
              <w:t xml:space="preserve">Defence-in-Depth Protection of the Azure OpenAI Inference Endpoint</w:t>
            </w:r>
          </w:p>
        </w:tc>
      </w:tr>
      <w:tr>
        <w:tc>
          <w:tcPr>
            <w:tcW w:type="dxa" w:w="2600"/>
            <w:shd w:fill="F7FAFC" w:color="auto" w:val="clear"/>
            <w:tcMar>
              <w:top w:type="dxa" w:w="80"/>
              <w:left w:type="dxa" w:w="110"/>
              <w:bottom w:type="dxa" w:w="80"/>
              <w:right w:type="dxa" w:w="110"/>
            </w:tcMar>
          </w:tcPr>
          <w:p>
            <w:pPr>
              <w:spacing w:after="0" w:before="0"/>
            </w:pPr>
            <w:r>
              <w:rPr>
                <w:rFonts w:ascii="Segoe UI" w:cs="Segoe UI" w:eastAsia="Segoe UI" w:hAnsi="Segoe UI"/>
                <w:b/>
                <w:bCs/>
                <w:i w:val="false"/>
                <w:iCs w:val="false"/>
                <w:color w:val="1A365D"/>
                <w:sz w:val="17"/>
                <w:szCs w:val="17"/>
              </w:rPr>
              <w:t xml:space="preserve">Status</w:t>
            </w:r>
          </w:p>
        </w:tc>
        <w:tc>
          <w:tcPr>
            <w:tcW w:type="dxa" w:w="7480"/>
            <w:tcMar>
              <w:top w:type="dxa" w:w="80"/>
              <w:left w:type="dxa" w:w="110"/>
              <w:bottom w:type="dxa" w:w="80"/>
              <w:right w:type="dxa" w:w="110"/>
            </w:tcMar>
          </w:tcPr>
          <w:p>
            <w:pPr>
              <w:spacing w:after="0" w:before="0"/>
            </w:pPr>
            <w:r>
              <w:rPr>
                <w:rFonts w:ascii="Segoe UI" w:cs="Segoe UI" w:eastAsia="Segoe UI" w:hAnsi="Segoe UI"/>
                <w:b w:val="false"/>
                <w:bCs w:val="false"/>
                <w:i w:val="false"/>
                <w:iCs w:val="false"/>
                <w:color w:val="000000"/>
                <w:sz w:val="17"/>
                <w:szCs w:val="17"/>
              </w:rPr>
              <w:t xml:space="preserve">Under Review — submitted to the Executive Risk Committee with the AI Risk &amp; Security Strategy Report</w:t>
            </w:r>
          </w:p>
        </w:tc>
      </w:tr>
      <w:tr>
        <w:tc>
          <w:tcPr>
            <w:tcW w:type="dxa" w:w="2600"/>
            <w:shd w:fill="F7FAFC" w:color="auto" w:val="clear"/>
            <w:tcMar>
              <w:top w:type="dxa" w:w="80"/>
              <w:left w:type="dxa" w:w="110"/>
              <w:bottom w:type="dxa" w:w="80"/>
              <w:right w:type="dxa" w:w="110"/>
            </w:tcMar>
          </w:tcPr>
          <w:p>
            <w:pPr>
              <w:spacing w:after="0" w:before="0"/>
            </w:pPr>
            <w:r>
              <w:rPr>
                <w:rFonts w:ascii="Segoe UI" w:cs="Segoe UI" w:eastAsia="Segoe UI" w:hAnsi="Segoe UI"/>
                <w:b/>
                <w:bCs/>
                <w:i w:val="false"/>
                <w:iCs w:val="false"/>
                <w:color w:val="1A365D"/>
                <w:sz w:val="17"/>
                <w:szCs w:val="17"/>
              </w:rPr>
              <w:t xml:space="preserve">Date of Decision</w:t>
            </w:r>
          </w:p>
        </w:tc>
        <w:tc>
          <w:tcPr>
            <w:tcW w:type="dxa" w:w="7480"/>
            <w:tcMar>
              <w:top w:type="dxa" w:w="80"/>
              <w:left w:type="dxa" w:w="110"/>
              <w:bottom w:type="dxa" w:w="80"/>
              <w:right w:type="dxa" w:w="110"/>
            </w:tcMar>
          </w:tcPr>
          <w:p>
            <w:pPr>
              <w:spacing w:after="0" w:before="0"/>
            </w:pPr>
            <w:r>
              <w:rPr>
                <w:rFonts w:ascii="Segoe UI" w:cs="Segoe UI" w:eastAsia="Segoe UI" w:hAnsi="Segoe UI"/>
                <w:b w:val="false"/>
                <w:bCs w:val="false"/>
                <w:i w:val="false"/>
                <w:iCs w:val="false"/>
                <w:color w:val="000000"/>
                <w:sz w:val="17"/>
                <w:szCs w:val="17"/>
              </w:rPr>
              <w:t xml:space="preserve">2026-08-25</w:t>
            </w:r>
          </w:p>
        </w:tc>
      </w:tr>
      <w:tr>
        <w:tc>
          <w:tcPr>
            <w:tcW w:type="dxa" w:w="2600"/>
            <w:shd w:fill="F7FAFC" w:color="auto" w:val="clear"/>
            <w:tcMar>
              <w:top w:type="dxa" w:w="80"/>
              <w:left w:type="dxa" w:w="110"/>
              <w:bottom w:type="dxa" w:w="80"/>
              <w:right w:type="dxa" w:w="110"/>
            </w:tcMar>
          </w:tcPr>
          <w:p>
            <w:pPr>
              <w:spacing w:after="0" w:before="0"/>
            </w:pPr>
            <w:r>
              <w:rPr>
                <w:rFonts w:ascii="Segoe UI" w:cs="Segoe UI" w:eastAsia="Segoe UI" w:hAnsi="Segoe UI"/>
                <w:b/>
                <w:bCs/>
                <w:i w:val="false"/>
                <w:iCs w:val="false"/>
                <w:color w:val="1A365D"/>
                <w:sz w:val="17"/>
                <w:szCs w:val="17"/>
              </w:rPr>
              <w:t xml:space="preserve">Author / Owner</w:t>
            </w:r>
          </w:p>
        </w:tc>
        <w:tc>
          <w:tcPr>
            <w:tcW w:type="dxa" w:w="7480"/>
            <w:tcMar>
              <w:top w:type="dxa" w:w="80"/>
              <w:left w:type="dxa" w:w="110"/>
              <w:bottom w:type="dxa" w:w="80"/>
              <w:right w:type="dxa" w:w="110"/>
            </w:tcMar>
          </w:tcPr>
          <w:p>
            <w:pPr>
              <w:spacing w:after="0" w:before="0"/>
            </w:pPr>
            <w:r>
              <w:rPr>
                <w:rFonts w:ascii="Segoe UI" w:cs="Segoe UI" w:eastAsia="Segoe UI" w:hAnsi="Segoe UI"/>
                <w:b w:val="false"/>
                <w:bCs w:val="false"/>
                <w:i w:val="false"/>
                <w:iCs w:val="false"/>
                <w:color w:val="000000"/>
                <w:sz w:val="17"/>
                <w:szCs w:val="17"/>
              </w:rPr>
              <w:t xml:space="preserve">Head of Information Security, Contoso Financial Service</w:t>
            </w:r>
          </w:p>
        </w:tc>
      </w:tr>
      <w:tr>
        <w:tc>
          <w:tcPr>
            <w:tcW w:type="dxa" w:w="2600"/>
            <w:shd w:fill="F7FAFC" w:color="auto" w:val="clear"/>
            <w:tcMar>
              <w:top w:type="dxa" w:w="80"/>
              <w:left w:type="dxa" w:w="110"/>
              <w:bottom w:type="dxa" w:w="80"/>
              <w:right w:type="dxa" w:w="110"/>
            </w:tcMar>
          </w:tcPr>
          <w:p>
            <w:pPr>
              <w:spacing w:after="0" w:before="0"/>
            </w:pPr>
            <w:r>
              <w:rPr>
                <w:rFonts w:ascii="Segoe UI" w:cs="Segoe UI" w:eastAsia="Segoe UI" w:hAnsi="Segoe UI"/>
                <w:b/>
                <w:bCs/>
                <w:i w:val="false"/>
                <w:iCs w:val="false"/>
                <w:color w:val="1A365D"/>
                <w:sz w:val="17"/>
                <w:szCs w:val="17"/>
              </w:rPr>
              <w:t xml:space="preserve">Related artifacts</w:t>
            </w:r>
          </w:p>
        </w:tc>
        <w:tc>
          <w:tcPr>
            <w:tcW w:type="dxa" w:w="7480"/>
            <w:tcMar>
              <w:top w:type="dxa" w:w="80"/>
              <w:left w:type="dxa" w:w="110"/>
              <w:bottom w:type="dxa" w:w="80"/>
              <w:right w:type="dxa" w:w="110"/>
            </w:tcMar>
          </w:tcPr>
          <w:p>
            <w:pPr>
              <w:spacing w:after="0" w:before="0"/>
            </w:pPr>
            <w:r>
              <w:rPr>
                <w:rFonts w:ascii="Segoe UI" w:cs="Segoe UI" w:eastAsia="Segoe UI" w:hAnsi="Segoe UI"/>
                <w:b w:val="false"/>
                <w:bCs w:val="false"/>
                <w:i w:val="false"/>
                <w:iCs w:val="false"/>
                <w:color w:val="000000"/>
                <w:sz w:val="17"/>
                <w:szCs w:val="17"/>
              </w:rPr>
              <w:t xml:space="preserve">AI Risk Register (R-01 to R-11)  •  STRIDE Worksheet (STRIDE-S to STRIDE-E)  •  FAIR Quantification (R-05, precondition R-01)</w:t>
            </w:r>
          </w:p>
        </w:tc>
      </w:tr>
      <w:tr>
        <w:tc>
          <w:tcPr>
            <w:tcW w:type="dxa" w:w="2600"/>
            <w:shd w:fill="F7FAFC" w:color="auto" w:val="clear"/>
            <w:tcMar>
              <w:top w:type="dxa" w:w="80"/>
              <w:left w:type="dxa" w:w="110"/>
              <w:bottom w:type="dxa" w:w="80"/>
              <w:right w:type="dxa" w:w="110"/>
            </w:tcMar>
          </w:tcPr>
          <w:p>
            <w:pPr>
              <w:spacing w:after="0" w:before="0"/>
            </w:pPr>
            <w:r>
              <w:rPr>
                <w:rFonts w:ascii="Segoe UI" w:cs="Segoe UI" w:eastAsia="Segoe UI" w:hAnsi="Segoe UI"/>
                <w:b/>
                <w:bCs/>
                <w:i w:val="false"/>
                <w:iCs w:val="false"/>
                <w:color w:val="1A365D"/>
                <w:sz w:val="17"/>
                <w:szCs w:val="17"/>
              </w:rPr>
              <w:t xml:space="preserve">Governance linkage</w:t>
            </w:r>
          </w:p>
        </w:tc>
        <w:tc>
          <w:tcPr>
            <w:tcW w:type="dxa" w:w="7480"/>
            <w:tcMar>
              <w:top w:type="dxa" w:w="80"/>
              <w:left w:type="dxa" w:w="110"/>
              <w:bottom w:type="dxa" w:w="80"/>
              <w:right w:type="dxa" w:w="110"/>
            </w:tcMar>
          </w:tcPr>
          <w:p>
            <w:pPr>
              <w:spacing w:after="0" w:before="0"/>
            </w:pPr>
            <w:r>
              <w:rPr>
                <w:rFonts w:ascii="Segoe UI" w:cs="Segoe UI" w:eastAsia="Segoe UI" w:hAnsi="Segoe UI"/>
                <w:b w:val="false"/>
                <w:bCs w:val="false"/>
                <w:i w:val="false"/>
                <w:iCs w:val="false"/>
                <w:color w:val="000000"/>
                <w:sz w:val="17"/>
                <w:szCs w:val="17"/>
              </w:rPr>
              <w:t xml:space="preserve">This ADR constitutes the condition set attached to the Conditional Approval recommended in Section 7 of the report.</w:t>
            </w:r>
          </w:p>
        </w:tc>
      </w:tr>
    </w:tbl>
    <w:p>
      <w:pPr>
        <w:pStyle w:val="Heading1"/>
        <w:pBdr>
          <w:bottom w:val="single" w:color="1A365D" w:sz="8" w:space="4"/>
        </w:pBdr>
        <w:spacing w:after="140" w:before="320"/>
      </w:pPr>
      <w:r>
        <w:rPr>
          <w:rFonts w:ascii="Segoe UI" w:cs="Segoe UI" w:eastAsia="Segoe UI" w:hAnsi="Segoe UI"/>
          <w:b/>
          <w:bCs/>
          <w:i w:val="false"/>
          <w:iCs w:val="false"/>
          <w:color w:val="1A365D"/>
          <w:sz w:val="26"/>
          <w:szCs w:val="26"/>
        </w:rPr>
        <w:t xml:space="preserve">1. Context &amp; Problem Statement</w:t>
      </w:r>
    </w:p>
    <w:p>
      <w:pPr>
        <w:spacing w:after="100" w:before="60" w:line="264"/>
      </w:pPr>
      <w:r>
        <w:rPr>
          <w:rFonts w:ascii="Segoe UI" w:cs="Segoe UI" w:eastAsia="Segoe UI" w:hAnsi="Segoe UI"/>
          <w:b w:val="false"/>
          <w:bCs w:val="false"/>
          <w:i w:val="false"/>
          <w:iCs w:val="false"/>
          <w:color w:val="000000"/>
          <w:sz w:val="20"/>
          <w:szCs w:val="20"/>
        </w:rPr>
        <w:t xml:space="preserve">Contoso Financial Service is preparing to deploy an internal Azure OpenAI knowledge assistant serving approximately 2,000 customer service, operations and compliance staff over internal policy documents, product guides and procedural knowledge. The Executive Risk Committee has a go/no-go decision scheduled for next month. This record captures the architectural decision on which that approval depends.</w:t>
      </w:r>
    </w:p>
    <w:p>
      <w:pPr>
        <w:spacing w:after="100" w:before="60" w:line="264"/>
      </w:pPr>
      <w:r>
        <w:rPr>
          <w:rFonts w:ascii="Segoe UI" w:cs="Segoe UI" w:eastAsia="Segoe UI" w:hAnsi="Segoe UI"/>
          <w:b w:val="false"/>
          <w:bCs w:val="false"/>
          <w:i w:val="false"/>
          <w:iCs w:val="false"/>
          <w:color w:val="000000"/>
          <w:sz w:val="20"/>
          <w:szCs w:val="20"/>
        </w:rPr>
        <w:t xml:space="preserve">The STRIDE assessment of the inference endpoint (STRIDE-S through STRIDE-E) identified six threats, each of which traces back to a risk already carried in the AI Risk Register. Five of the six have no corresponding control running in production today. The assessment also established that the endpoint is not a single trust boundary but a point where five distinct ones converge: caller identity, retrieval authorisation, corpus integrity, generation behaviour, and evidence capture.</w:t>
      </w:r>
    </w:p>
    <w:p>
      <w:pPr>
        <w:spacing w:after="100" w:before="60" w:line="264"/>
      </w:pPr>
      <w:r>
        <w:rPr>
          <w:rFonts w:ascii="Segoe UI" w:cs="Segoe UI" w:eastAsia="Segoe UI" w:hAnsi="Segoe UI"/>
          <w:b w:val="false"/>
          <w:bCs w:val="false"/>
          <w:i w:val="false"/>
          <w:iCs w:val="false"/>
          <w:color w:val="000000"/>
          <w:sz w:val="20"/>
          <w:szCs w:val="20"/>
        </w:rPr>
        <w:t xml:space="preserve">This is the engineering problem. A single-layer control placed at the endpoint fails all five boundaries simultaneously. The pattern currently prevailing in the existing AI controls inventory — input regex token validation — is an application-layer filter that cannot enforce entitlement, cannot verify corpus integrity, and fails open against paraphrase. It is a useful component and an inadequate architecture.</w:t>
      </w:r>
    </w:p>
    <w:p>
      <w:pPr>
        <w:spacing w:after="100" w:before="60" w:line="264"/>
      </w:pPr>
      <w:r>
        <w:rPr>
          <w:rFonts w:ascii="Segoe UI" w:cs="Segoe UI" w:eastAsia="Segoe UI" w:hAnsi="Segoe UI"/>
          <w:b w:val="false"/>
          <w:bCs w:val="false"/>
          <w:i w:val="false"/>
          <w:iCs w:val="false"/>
          <w:color w:val="000000"/>
          <w:sz w:val="20"/>
          <w:szCs w:val="20"/>
        </w:rPr>
        <w:t xml:space="preserve">The decision is also quantitatively motivated. FAIR modelling of the principal disclosure scenario — </w:t>
      </w:r>
      <w:r>
        <w:rPr>
          <w:rFonts w:ascii="Segoe UI" w:cs="Segoe UI" w:eastAsia="Segoe UI" w:hAnsi="Segoe UI"/>
          <w:b/>
          <w:bCs/>
          <w:i w:val="false"/>
          <w:iCs w:val="false"/>
          <w:color w:val="000000"/>
          <w:sz w:val="20"/>
          <w:szCs w:val="20"/>
        </w:rPr>
        <w:t xml:space="preserve">STRIDE-I / R-05, with R-01 as the enabling precondition</w:t>
      </w:r>
      <w:r>
        <w:rPr>
          <w:rFonts w:ascii="Segoe UI" w:cs="Segoe UI" w:eastAsia="Segoe UI" w:hAnsi="Segoe UI"/>
          <w:b w:val="false"/>
          <w:bCs w:val="false"/>
          <w:i w:val="false"/>
          <w:iCs w:val="false"/>
          <w:color w:val="000000"/>
          <w:sz w:val="20"/>
          <w:szCs w:val="20"/>
        </w:rPr>
        <w:t xml:space="preserve"> — places unmitigated annualised loss exposure between </w:t>
      </w:r>
      <w:r>
        <w:rPr>
          <w:rFonts w:ascii="Segoe UI" w:cs="Segoe UI" w:eastAsia="Segoe UI" w:hAnsi="Segoe UI"/>
          <w:b/>
          <w:bCs/>
          <w:i w:val="false"/>
          <w:iCs w:val="false"/>
          <w:color w:val="000000"/>
          <w:sz w:val="20"/>
          <w:szCs w:val="20"/>
        </w:rPr>
        <w:t xml:space="preserve">$50,000 and $6,000,000, most likely $625,000</w:t>
      </w:r>
      <w:r>
        <w:rPr>
          <w:rFonts w:ascii="Segoe UI" w:cs="Segoe UI" w:eastAsia="Segoe UI" w:hAnsi="Segoe UI"/>
          <w:b w:val="false"/>
          <w:bCs w:val="false"/>
          <w:i w:val="false"/>
          <w:iCs w:val="false"/>
          <w:color w:val="000000"/>
          <w:sz w:val="20"/>
          <w:szCs w:val="20"/>
        </w:rPr>
        <w:t xml:space="preserve">. Sensitivity analysis indicates that the ingestion and endpoint control sets together reduce the modelled maximum by approximately 89 per cent. Doing nothing is therefore not a neutral option; it is a priced one.</w:t>
      </w:r>
    </w:p>
    <w:p>
      <w:pPr>
        <w:pStyle w:val="Heading1"/>
        <w:pBdr>
          <w:bottom w:val="single" w:color="1A365D" w:sz="8" w:space="4"/>
        </w:pBdr>
        <w:spacing w:after="140" w:before="320"/>
      </w:pPr>
      <w:r>
        <w:rPr>
          <w:rFonts w:ascii="Segoe UI" w:cs="Segoe UI" w:eastAsia="Segoe UI" w:hAnsi="Segoe UI"/>
          <w:b/>
          <w:bCs/>
          <w:i w:val="false"/>
          <w:iCs w:val="false"/>
          <w:color w:val="1A365D"/>
          <w:sz w:val="26"/>
          <w:szCs w:val="26"/>
        </w:rPr>
        <w:t xml:space="preserve">2. Architectural Decision Boundaries</w:t>
      </w:r>
    </w:p>
    <w:p>
      <w:pPr>
        <w:spacing w:after="100" w:before="60" w:line="264"/>
      </w:pPr>
      <w:r>
        <w:rPr>
          <w:rFonts w:ascii="Segoe UI" w:cs="Segoe UI" w:eastAsia="Segoe UI" w:hAnsi="Segoe UI"/>
          <w:b w:val="false"/>
          <w:bCs w:val="false"/>
          <w:i w:val="false"/>
          <w:iCs w:val="false"/>
          <w:color w:val="000000"/>
          <w:sz w:val="20"/>
          <w:szCs w:val="20"/>
        </w:rPr>
        <w:t xml:space="preserve">Contoso will adopt a layered control architecture across five enforcement points, implemented entirely on Microsoft-native services inside the Contoso Azure tenant. No control depends on a third-party service, and no content leaves the tenant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0"/>
        <w:gridCol w:w="3050"/>
        <w:gridCol w:w="5080"/>
      </w:tblGrid>
      <w:tr>
        <w:trPr>
          <w:tblHeader/>
        </w:trPr>
        <w:tc>
          <w:tcPr>
            <w:tcW w:type="dxa" w:w="195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Enforcement point</w:t>
            </w:r>
          </w:p>
        </w:tc>
        <w:tc>
          <w:tcPr>
            <w:tcW w:type="dxa" w:w="305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Primary Microsoft-native control</w:t>
            </w:r>
          </w:p>
        </w:tc>
        <w:tc>
          <w:tcPr>
            <w:tcW w:type="dxa" w:w="508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What it enforces</w:t>
            </w:r>
          </w:p>
        </w:tc>
      </w:tr>
      <w:tr>
        <w:tc>
          <w:tcPr>
            <w:tcW w:type="dxa" w:w="195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Network</w:t>
            </w:r>
          </w:p>
        </w:tc>
        <w:tc>
          <w:tcPr>
            <w:tcW w:type="dxa" w:w="305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Azure Virtual Network + private endpoint; public network access disabled</w:t>
            </w:r>
          </w:p>
        </w:tc>
        <w:tc>
          <w:tcPr>
            <w:tcW w:type="dxa" w:w="50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The inference endpoint is unreachable from the public internet; all traffic stays inside the tenant.</w:t>
            </w:r>
          </w:p>
        </w:tc>
      </w:tr>
      <w:tr>
        <w:tc>
          <w:tcPr>
            <w:tcW w:type="dxa" w:w="195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Identity</w:t>
            </w:r>
          </w:p>
        </w:tc>
        <w:tc>
          <w:tcPr>
            <w:tcW w:type="dxa" w:w="305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Microsoft Entra ID, MFA, Conditional Access, CAE; validated at Azure API Management</w:t>
            </w:r>
          </w:p>
        </w:tc>
        <w:tc>
          <w:tcPr>
            <w:tcW w:type="dxa" w:w="50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Only a verified, compliant caller reaches the orchestrator, and the caller's identity is cryptographically established before retrieval.</w:t>
            </w:r>
          </w:p>
        </w:tc>
      </w:tr>
      <w:tr>
        <w:tc>
          <w:tcPr>
            <w:tcW w:type="dxa" w:w="195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Retrieval authorisation</w:t>
            </w:r>
          </w:p>
        </w:tc>
        <w:tc>
          <w:tcPr>
            <w:tcW w:type="dxa" w:w="305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Azure AI Search security trimming, filter derived server-side from the validated token</w:t>
            </w:r>
          </w:p>
        </w:tc>
        <w:tc>
          <w:tcPr>
            <w:tcW w:type="dxa" w:w="50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A caller can only retrieve documents their Entra ID group membership permits — enforced outside the prompt.</w:t>
            </w:r>
          </w:p>
        </w:tc>
      </w:tr>
      <w:tr>
        <w:tc>
          <w:tcPr>
            <w:tcW w:type="dxa" w:w="195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Content</w:t>
            </w:r>
          </w:p>
        </w:tc>
        <w:tc>
          <w:tcPr>
            <w:tcW w:type="dxa" w:w="305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Azure AI Content Safety Prompt Shields and groundedness detection; Microsoft Purview DLP and sensitivity labels enforced pre-index; Azure OpenAI content filters</w:t>
            </w:r>
          </w:p>
        </w:tc>
        <w:tc>
          <w:tcPr>
            <w:tcW w:type="dxa" w:w="50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Adversarial input is detected, ungrounded output is withheld, and excluded content never enters the corpus.</w:t>
            </w:r>
          </w:p>
        </w:tc>
      </w:tr>
      <w:tr>
        <w:tc>
          <w:tcPr>
            <w:tcW w:type="dxa" w:w="195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Evidence</w:t>
            </w:r>
          </w:p>
        </w:tc>
        <w:tc>
          <w:tcPr>
            <w:tcW w:type="dxa" w:w="305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Microsoft Purview Audit with immutable retention; Azure Monitor diagnostics; fail-closed on telemetry loss</w:t>
            </w:r>
          </w:p>
        </w:tc>
        <w:tc>
          <w:tcPr>
            <w:tcW w:type="dxa" w:w="50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Every interaction is attributably and immutably recorded, or it does not happen.</w:t>
            </w:r>
          </w:p>
        </w:tc>
      </w:tr>
    </w:tbl>
    <w:p>
      <w:pPr>
        <w:pStyle w:val="Heading2"/>
        <w:spacing w:after="90" w:before="220"/>
      </w:pPr>
      <w:r>
        <w:rPr>
          <w:rFonts w:ascii="Segoe UI" w:cs="Segoe UI" w:eastAsia="Segoe UI" w:hAnsi="Segoe UI"/>
          <w:b/>
          <w:bCs/>
          <w:i w:val="false"/>
          <w:iCs w:val="false"/>
          <w:color w:val="2C5282"/>
          <w:sz w:val="22"/>
          <w:szCs w:val="22"/>
        </w:rPr>
        <w:t xml:space="preserve">2.1 Threat-mitigation pairings</w:t>
      </w:r>
    </w:p>
    <w:p>
      <w:pPr>
        <w:spacing w:after="100" w:before="60" w:line="264"/>
      </w:pPr>
      <w:r>
        <w:rPr>
          <w:rFonts w:ascii="Segoe UI" w:cs="Segoe UI" w:eastAsia="Segoe UI" w:hAnsi="Segoe UI"/>
          <w:b w:val="false"/>
          <w:bCs w:val="false"/>
          <w:i w:val="false"/>
          <w:iCs w:val="false"/>
          <w:color w:val="000000"/>
          <w:sz w:val="20"/>
          <w:szCs w:val="20"/>
        </w:rPr>
        <w:t xml:space="preserve">Six pairings are recorded, one for every threat in the STRIDE worksheet. This exceeds the four-pairing minimum and leaves no threat unpaired.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20"/>
        <w:gridCol w:w="2180"/>
        <w:gridCol w:w="1250"/>
        <w:gridCol w:w="2100"/>
        <w:gridCol w:w="3430"/>
      </w:tblGrid>
      <w:tr>
        <w:trPr>
          <w:tblHeader/>
        </w:trPr>
        <w:tc>
          <w:tcPr>
            <w:tcW w:type="dxa" w:w="112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Pairing</w:t>
            </w:r>
          </w:p>
        </w:tc>
        <w:tc>
          <w:tcPr>
            <w:tcW w:type="dxa" w:w="218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STRIDE threat</w:t>
            </w:r>
          </w:p>
        </w:tc>
        <w:tc>
          <w:tcPr>
            <w:tcW w:type="dxa" w:w="125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Register risk</w:t>
            </w:r>
          </w:p>
        </w:tc>
        <w:tc>
          <w:tcPr>
            <w:tcW w:type="dxa" w:w="210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Enforcement point</w:t>
            </w:r>
          </w:p>
        </w:tc>
        <w:tc>
          <w:tcPr>
            <w:tcW w:type="dxa" w:w="343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Status</w:t>
            </w:r>
          </w:p>
        </w:tc>
      </w:tr>
      <w:tr>
        <w:tc>
          <w:tcPr>
            <w:tcW w:type="dxa" w:w="112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P-1</w:t>
            </w:r>
          </w:p>
        </w:tc>
        <w:tc>
          <w:tcPr>
            <w:tcW w:type="dxa" w:w="21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STRIDE-S — Spoofing</w:t>
            </w:r>
          </w:p>
        </w:tc>
        <w:tc>
          <w:tcPr>
            <w:tcW w:type="dxa" w:w="125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R-11</w:t>
            </w:r>
          </w:p>
        </w:tc>
        <w:tc>
          <w:tcPr>
            <w:tcW w:type="dxa" w:w="21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Identity boundary</w:t>
            </w:r>
          </w:p>
        </w:tc>
        <w:tc>
          <w:tcPr>
            <w:tcW w:type="dxa" w:w="343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Mitigated — control in production</w:t>
            </w:r>
          </w:p>
        </w:tc>
      </w:tr>
      <w:tr>
        <w:tc>
          <w:tcPr>
            <w:tcW w:type="dxa" w:w="112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P-2</w:t>
            </w:r>
          </w:p>
        </w:tc>
        <w:tc>
          <w:tcPr>
            <w:tcW w:type="dxa" w:w="21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STRIDE-T — Tampering</w:t>
            </w:r>
          </w:p>
        </w:tc>
        <w:tc>
          <w:tcPr>
            <w:tcW w:type="dxa" w:w="125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R-03</w:t>
            </w:r>
          </w:p>
        </w:tc>
        <w:tc>
          <w:tcPr>
            <w:tcW w:type="dxa" w:w="21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Corpus integrity boundary</w:t>
            </w:r>
          </w:p>
        </w:tc>
        <w:tc>
          <w:tcPr>
            <w:tcW w:type="dxa" w:w="343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Open — pre-go-live condition</w:t>
            </w:r>
          </w:p>
        </w:tc>
      </w:tr>
      <w:tr>
        <w:tc>
          <w:tcPr>
            <w:tcW w:type="dxa" w:w="112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P-3</w:t>
            </w:r>
          </w:p>
        </w:tc>
        <w:tc>
          <w:tcPr>
            <w:tcW w:type="dxa" w:w="21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STRIDE-R — Repudiation</w:t>
            </w:r>
          </w:p>
        </w:tc>
        <w:tc>
          <w:tcPr>
            <w:tcW w:type="dxa" w:w="125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R-10</w:t>
            </w:r>
          </w:p>
        </w:tc>
        <w:tc>
          <w:tcPr>
            <w:tcW w:type="dxa" w:w="21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Evidence boundary</w:t>
            </w:r>
          </w:p>
        </w:tc>
        <w:tc>
          <w:tcPr>
            <w:tcW w:type="dxa" w:w="343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Open — pre-go-live condition</w:t>
            </w:r>
          </w:p>
        </w:tc>
      </w:tr>
      <w:tr>
        <w:tc>
          <w:tcPr>
            <w:tcW w:type="dxa" w:w="112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P-4</w:t>
            </w:r>
          </w:p>
        </w:tc>
        <w:tc>
          <w:tcPr>
            <w:tcW w:type="dxa" w:w="21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STRIDE-I — Information Disclosure</w:t>
            </w:r>
          </w:p>
        </w:tc>
        <w:tc>
          <w:tcPr>
            <w:tcW w:type="dxa" w:w="125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R-05 (primary), R-01 (enabling)</w:t>
            </w:r>
          </w:p>
        </w:tc>
        <w:tc>
          <w:tcPr>
            <w:tcW w:type="dxa" w:w="21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Content boundary</w:t>
            </w:r>
          </w:p>
        </w:tc>
        <w:tc>
          <w:tcPr>
            <w:tcW w:type="dxa" w:w="343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Open — pre-go-live condition</w:t>
            </w:r>
          </w:p>
        </w:tc>
      </w:tr>
      <w:tr>
        <w:tc>
          <w:tcPr>
            <w:tcW w:type="dxa" w:w="112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P-5</w:t>
            </w:r>
          </w:p>
        </w:tc>
        <w:tc>
          <w:tcPr>
            <w:tcW w:type="dxa" w:w="21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STRIDE-D — Denial of Service</w:t>
            </w:r>
          </w:p>
        </w:tc>
        <w:tc>
          <w:tcPr>
            <w:tcW w:type="dxa" w:w="125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R-07</w:t>
            </w:r>
          </w:p>
        </w:tc>
        <w:tc>
          <w:tcPr>
            <w:tcW w:type="dxa" w:w="21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Capacity boundary</w:t>
            </w:r>
          </w:p>
        </w:tc>
        <w:tc>
          <w:tcPr>
            <w:tcW w:type="dxa" w:w="343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Open — pre-go-live condition</w:t>
            </w:r>
          </w:p>
        </w:tc>
      </w:tr>
      <w:tr>
        <w:tc>
          <w:tcPr>
            <w:tcW w:type="dxa" w:w="112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P-6</w:t>
            </w:r>
          </w:p>
        </w:tc>
        <w:tc>
          <w:tcPr>
            <w:tcW w:type="dxa" w:w="21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STRIDE-E — Elevation of Privilege</w:t>
            </w:r>
          </w:p>
        </w:tc>
        <w:tc>
          <w:tcPr>
            <w:tcW w:type="dxa" w:w="125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R-02</w:t>
            </w:r>
          </w:p>
        </w:tc>
        <w:tc>
          <w:tcPr>
            <w:tcW w:type="dxa" w:w="21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Retrieval authorisation boundary</w:t>
            </w:r>
          </w:p>
        </w:tc>
        <w:tc>
          <w:tcPr>
            <w:tcW w:type="dxa" w:w="343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Open — review required</w:t>
            </w:r>
          </w:p>
        </w:tc>
      </w:tr>
    </w:tbl>
    <w:p>
      <w:pPr>
        <w:spacing w:after="80" w:before="260"/>
      </w:pPr>
      <w:r>
        <w:rPr>
          <w:rFonts w:ascii="Segoe UI" w:cs="Segoe UI" w:eastAsia="Segoe UI" w:hAnsi="Segoe UI"/>
          <w:b/>
          <w:bCs/>
          <w:i w:val="false"/>
          <w:iCs w:val="false"/>
          <w:color w:val="2C5282"/>
          <w:sz w:val="20"/>
          <w:szCs w:val="20"/>
        </w:rPr>
        <w:t xml:space="preserve">P-1  ·  STRIDE-S — Spoofing  ·  R-11</w:t>
      </w:r>
    </w:p>
    <w:p>
      <w:pPr>
        <w:spacing w:after="80" w:before="0" w:line="264"/>
      </w:pPr>
      <w:r>
        <w:rPr>
          <w:rFonts w:ascii="Segoe UI" w:cs="Segoe UI" w:eastAsia="Segoe UI" w:hAnsi="Segoe UI"/>
          <w:b/>
          <w:bCs/>
          <w:i w:val="false"/>
          <w:iCs w:val="false"/>
          <w:color w:val="000000"/>
          <w:sz w:val="20"/>
          <w:szCs w:val="20"/>
        </w:rPr>
        <w:t xml:space="preserve">Mitigation adopted. </w:t>
      </w:r>
      <w:r>
        <w:rPr>
          <w:rFonts w:ascii="Segoe UI" w:cs="Segoe UI" w:eastAsia="Segoe UI" w:hAnsi="Segoe UI"/>
          <w:b w:val="false"/>
          <w:bCs w:val="false"/>
          <w:i w:val="false"/>
          <w:iCs w:val="false"/>
          <w:color w:val="000000"/>
          <w:sz w:val="20"/>
          <w:szCs w:val="20"/>
        </w:rPr>
        <w:t xml:space="preserve">Microsoft Entra ID with phishing-resistant MFA enforced for assistant access; Entra Conditional Access requiring a compliant managed device and a named-location match; Continuous Access Evaluation for near-real-time token revocation; short JWT lifetime validated at Azure API Management; Managed Identity for all service-to-service calls, so no static API key exists to be stolen.</w:t>
      </w:r>
    </w:p>
    <w:p>
      <w:pPr>
        <w:spacing w:after="60" w:before="0" w:line="264"/>
      </w:pPr>
      <w:r>
        <w:rPr>
          <w:rFonts w:ascii="Segoe UI" w:cs="Segoe UI" w:eastAsia="Segoe UI" w:hAnsi="Segoe UI"/>
          <w:b/>
          <w:bCs/>
          <w:i w:val="false"/>
          <w:iCs w:val="false"/>
          <w:color w:val="000000"/>
          <w:sz w:val="20"/>
          <w:szCs w:val="20"/>
        </w:rPr>
        <w:t xml:space="preserve">Accepted trade-off. </w:t>
      </w:r>
      <w:r>
        <w:rPr>
          <w:rFonts w:ascii="Segoe UI" w:cs="Segoe UI" w:eastAsia="Segoe UI" w:hAnsi="Segoe UI"/>
          <w:b w:val="false"/>
          <w:bCs w:val="false"/>
          <w:i w:val="false"/>
          <w:iCs w:val="false"/>
          <w:color w:val="000000"/>
          <w:sz w:val="20"/>
          <w:szCs w:val="20"/>
        </w:rPr>
        <w:t xml:space="preserve">Conditional Access denies assistant use from unmanaged or non-compliant devices and unrecognised locations, so staff who are travelling or working from a personal device lose access outright rather than degrading to a limited mode. Continuous Access Evaluation adds re-authentication friction and increases service-desk volume. Contoso accepts this: identity assurance takes precedence over the availability of an advisory tool.</w:t>
      </w:r>
    </w:p>
    <w:p>
      <w:pPr>
        <w:spacing w:after="80" w:before="260"/>
      </w:pPr>
      <w:r>
        <w:rPr>
          <w:rFonts w:ascii="Segoe UI" w:cs="Segoe UI" w:eastAsia="Segoe UI" w:hAnsi="Segoe UI"/>
          <w:b/>
          <w:bCs/>
          <w:i w:val="false"/>
          <w:iCs w:val="false"/>
          <w:color w:val="2C5282"/>
          <w:sz w:val="20"/>
          <w:szCs w:val="20"/>
        </w:rPr>
        <w:t xml:space="preserve">P-2  ·  STRIDE-T — Tampering  ·  R-03</w:t>
      </w:r>
    </w:p>
    <w:p>
      <w:pPr>
        <w:spacing w:after="80" w:before="0" w:line="264"/>
      </w:pPr>
      <w:r>
        <w:rPr>
          <w:rFonts w:ascii="Segoe UI" w:cs="Segoe UI" w:eastAsia="Segoe UI" w:hAnsi="Segoe UI"/>
          <w:b/>
          <w:bCs/>
          <w:i w:val="false"/>
          <w:iCs w:val="false"/>
          <w:color w:val="000000"/>
          <w:sz w:val="20"/>
          <w:szCs w:val="20"/>
        </w:rPr>
        <w:t xml:space="preserve">Mitigation adopted. </w:t>
      </w:r>
      <w:r>
        <w:rPr>
          <w:rFonts w:ascii="Segoe UI" w:cs="Segoe UI" w:eastAsia="Segoe UI" w:hAnsi="Segoe UI"/>
          <w:b w:val="false"/>
          <w:bCs w:val="false"/>
          <w:i w:val="false"/>
          <w:iCs w:val="false"/>
          <w:color w:val="000000"/>
          <w:sz w:val="20"/>
          <w:szCs w:val="20"/>
        </w:rPr>
        <w:t xml:space="preserve">Azure AI Search indexer sourced solely from a locked Azure Storage container under an immutable (WORM) blob policy; Azure RBAC restricting write access to the ingestion managed identity; a SHA-256 hash manifest re-verified by a scheduled Azure Function with alerting on mismatch; Microsoft Purview Information Protection labels and data lineage; Azure Policy denying public network write to the storage account; automated de-indexing on a supersession event from the policy library.</w:t>
      </w:r>
    </w:p>
    <w:p>
      <w:pPr>
        <w:spacing w:after="60" w:before="0" w:line="264"/>
      </w:pPr>
      <w:r>
        <w:rPr>
          <w:rFonts w:ascii="Segoe UI" w:cs="Segoe UI" w:eastAsia="Segoe UI" w:hAnsi="Segoe UI"/>
          <w:b/>
          <w:bCs/>
          <w:i w:val="false"/>
          <w:iCs w:val="false"/>
          <w:color w:val="000000"/>
          <w:sz w:val="20"/>
          <w:szCs w:val="20"/>
        </w:rPr>
        <w:t xml:space="preserve">Accepted trade-off. </w:t>
      </w:r>
      <w:r>
        <w:rPr>
          <w:rFonts w:ascii="Segoe UI" w:cs="Segoe UI" w:eastAsia="Segoe UI" w:hAnsi="Segoe UI"/>
          <w:b w:val="false"/>
          <w:bCs w:val="false"/>
          <w:i w:val="false"/>
          <w:iCs w:val="false"/>
          <w:color w:val="000000"/>
          <w:sz w:val="20"/>
          <w:szCs w:val="20"/>
        </w:rPr>
        <w:t xml:space="preserve">Immutable storage and hash re-verification move the corpus onto a batch update cycle. A corrected policy takes up to 24 hours to appear in the assistant rather than being hot-fixed at source, and content owners lose direct write access to the indexed set. Contoso accepts this: a short and visible window of staleness is preferable to a corpus whose integrity cannot be proven, and every citation displays the document's version and effective date so users can judge currency for themselves.</w:t>
      </w:r>
    </w:p>
    <w:p>
      <w:pPr>
        <w:spacing w:after="80" w:before="260"/>
      </w:pPr>
      <w:r>
        <w:rPr>
          <w:rFonts w:ascii="Segoe UI" w:cs="Segoe UI" w:eastAsia="Segoe UI" w:hAnsi="Segoe UI"/>
          <w:b/>
          <w:bCs/>
          <w:i w:val="false"/>
          <w:iCs w:val="false"/>
          <w:color w:val="2C5282"/>
          <w:sz w:val="20"/>
          <w:szCs w:val="20"/>
        </w:rPr>
        <w:t xml:space="preserve">P-3  ·  STRIDE-R — Repudiation  ·  R-10</w:t>
      </w:r>
    </w:p>
    <w:p>
      <w:pPr>
        <w:spacing w:after="80" w:before="0" w:line="264"/>
      </w:pPr>
      <w:r>
        <w:rPr>
          <w:rFonts w:ascii="Segoe UI" w:cs="Segoe UI" w:eastAsia="Segoe UI" w:hAnsi="Segoe UI"/>
          <w:b/>
          <w:bCs/>
          <w:i w:val="false"/>
          <w:iCs w:val="false"/>
          <w:color w:val="000000"/>
          <w:sz w:val="20"/>
          <w:szCs w:val="20"/>
        </w:rPr>
        <w:t xml:space="preserve">Mitigation adopted. </w:t>
      </w:r>
      <w:r>
        <w:rPr>
          <w:rFonts w:ascii="Segoe UI" w:cs="Segoe UI" w:eastAsia="Segoe UI" w:hAnsi="Segoe UI"/>
          <w:b w:val="false"/>
          <w:bCs w:val="false"/>
          <w:i w:val="false"/>
          <w:iCs w:val="false"/>
          <w:color w:val="000000"/>
          <w:sz w:val="20"/>
          <w:szCs w:val="20"/>
        </w:rPr>
        <w:t xml:space="preserve">Azure OpenAI diagnostic settings streaming to Azure Monitor and Log Analytics; Microsoft Purview Audit with immutable time-based retention aligned to the corporate record-keeping schedule; Azure Storage immutability policy with legal-hold capability; the Entra ID object identifier propagated as a correlation ID from API Management through to the endpoint; retrieved document IDs and versions logged alongside a hash of the model output; the endpoint fails closed if telemetry is unavailable.</w:t>
      </w:r>
    </w:p>
    <w:p>
      <w:pPr>
        <w:spacing w:after="60" w:before="0" w:line="264"/>
      </w:pPr>
      <w:r>
        <w:rPr>
          <w:rFonts w:ascii="Segoe UI" w:cs="Segoe UI" w:eastAsia="Segoe UI" w:hAnsi="Segoe UI"/>
          <w:b/>
          <w:bCs/>
          <w:i w:val="false"/>
          <w:iCs w:val="false"/>
          <w:color w:val="000000"/>
          <w:sz w:val="20"/>
          <w:szCs w:val="20"/>
        </w:rPr>
        <w:t xml:space="preserve">Accepted trade-off. </w:t>
      </w:r>
      <w:r>
        <w:rPr>
          <w:rFonts w:ascii="Segoe UI" w:cs="Segoe UI" w:eastAsia="Segoe UI" w:hAnsi="Segoe UI"/>
          <w:b w:val="false"/>
          <w:bCs w:val="false"/>
          <w:i w:val="false"/>
          <w:iCs w:val="false"/>
          <w:color w:val="000000"/>
          <w:sz w:val="20"/>
          <w:szCs w:val="20"/>
        </w:rPr>
        <w:t xml:space="preserve">Logging full prompt text creates a new confidentiality asset that itself requires access control, retention governance and its own DLP coverage — the audit trail becomes a target in its own right. Fail-closed behaviour means a telemetry outage takes the assistant offline. Contoso accepts this: availability is traded deliberately for non-repudiation, because an interaction that was never logged cannot be defended to a supervisor or to a complainant.</w:t>
      </w:r>
    </w:p>
    <w:p>
      <w:pPr>
        <w:spacing w:after="80" w:before="260"/>
      </w:pPr>
      <w:r>
        <w:rPr>
          <w:rFonts w:ascii="Segoe UI" w:cs="Segoe UI" w:eastAsia="Segoe UI" w:hAnsi="Segoe UI"/>
          <w:b/>
          <w:bCs/>
          <w:i w:val="false"/>
          <w:iCs w:val="false"/>
          <w:color w:val="2C5282"/>
          <w:sz w:val="20"/>
          <w:szCs w:val="20"/>
        </w:rPr>
        <w:t xml:space="preserve">P-4  ·  STRIDE-I — Information Disclosure  ·  R-05 (primary), R-01 (enabling)</w:t>
      </w:r>
    </w:p>
    <w:p>
      <w:pPr>
        <w:spacing w:after="80" w:before="0" w:line="264"/>
      </w:pPr>
      <w:r>
        <w:rPr>
          <w:rFonts w:ascii="Segoe UI" w:cs="Segoe UI" w:eastAsia="Segoe UI" w:hAnsi="Segoe UI"/>
          <w:b/>
          <w:bCs/>
          <w:i w:val="false"/>
          <w:iCs w:val="false"/>
          <w:color w:val="000000"/>
          <w:sz w:val="20"/>
          <w:szCs w:val="20"/>
        </w:rPr>
        <w:t xml:space="preserve">Mitigation adopted. </w:t>
      </w:r>
      <w:r>
        <w:rPr>
          <w:rFonts w:ascii="Segoe UI" w:cs="Segoe UI" w:eastAsia="Segoe UI" w:hAnsi="Segoe UI"/>
          <w:b w:val="false"/>
          <w:bCs w:val="false"/>
          <w:i w:val="false"/>
          <w:iCs w:val="false"/>
          <w:color w:val="000000"/>
          <w:sz w:val="20"/>
          <w:szCs w:val="20"/>
        </w:rPr>
        <w:t xml:space="preserve">Azure AI Content Safety Prompt Shields for both jailbreak and indirect (document-borne) attack detection; Azure AI Content Safety groundedness detection with abstention below threshold; Azure OpenAI content filters with custom blocklists; Microsoft Purview DLP and Information Protection sensitivity labels enforced before indexing so excluded content never reaches the corpus; Azure Virtual Network isolation via a private endpoint with public network access disabled; Microsoft Defender for Cloud AI threat protection alerting on injection patterns.</w:t>
      </w:r>
    </w:p>
    <w:p>
      <w:pPr>
        <w:spacing w:after="60" w:before="0" w:line="264"/>
      </w:pPr>
      <w:r>
        <w:rPr>
          <w:rFonts w:ascii="Segoe UI" w:cs="Segoe UI" w:eastAsia="Segoe UI" w:hAnsi="Segoe UI"/>
          <w:b/>
          <w:bCs/>
          <w:i w:val="false"/>
          <w:iCs w:val="false"/>
          <w:color w:val="000000"/>
          <w:sz w:val="20"/>
          <w:szCs w:val="20"/>
        </w:rPr>
        <w:t xml:space="preserve">Accepted trade-off. </w:t>
      </w:r>
      <w:r>
        <w:rPr>
          <w:rFonts w:ascii="Segoe UI" w:cs="Segoe UI" w:eastAsia="Segoe UI" w:hAnsi="Segoe UI"/>
          <w:b w:val="false"/>
          <w:bCs w:val="false"/>
          <w:i w:val="false"/>
          <w:iCs w:val="false"/>
          <w:color w:val="000000"/>
          <w:sz w:val="20"/>
          <w:szCs w:val="20"/>
        </w:rPr>
        <w:t xml:space="preserve">Prompt Shields and outbound confidentiality filters generate false positives on legitimate queries about sensitive-sounding subjects — a compliance officer asking about fraud investigation procedure is the canonical case, and the existing controls inventory already records this tuning gap. The filters also add per-call latency. Contoso accepts this: an over-blocking assistant is recoverable through tuning and a documented human fallback path; an over-disclosing one is not.</w:t>
      </w:r>
    </w:p>
    <w:p>
      <w:pPr>
        <w:spacing w:after="80" w:before="260"/>
      </w:pPr>
      <w:r>
        <w:rPr>
          <w:rFonts w:ascii="Segoe UI" w:cs="Segoe UI" w:eastAsia="Segoe UI" w:hAnsi="Segoe UI"/>
          <w:b/>
          <w:bCs/>
          <w:i w:val="false"/>
          <w:iCs w:val="false"/>
          <w:color w:val="2C5282"/>
          <w:sz w:val="20"/>
          <w:szCs w:val="20"/>
        </w:rPr>
        <w:t xml:space="preserve">P-5  ·  STRIDE-D — Denial of Service  ·  R-07</w:t>
      </w:r>
    </w:p>
    <w:p>
      <w:pPr>
        <w:spacing w:after="80" w:before="0" w:line="264"/>
      </w:pPr>
      <w:r>
        <w:rPr>
          <w:rFonts w:ascii="Segoe UI" w:cs="Segoe UI" w:eastAsia="Segoe UI" w:hAnsi="Segoe UI"/>
          <w:b/>
          <w:bCs/>
          <w:i w:val="false"/>
          <w:iCs w:val="false"/>
          <w:color w:val="000000"/>
          <w:sz w:val="20"/>
          <w:szCs w:val="20"/>
        </w:rPr>
        <w:t xml:space="preserve">Mitigation adopted. </w:t>
      </w:r>
      <w:r>
        <w:rPr>
          <w:rFonts w:ascii="Segoe UI" w:cs="Segoe UI" w:eastAsia="Segoe UI" w:hAnsi="Segoe UI"/>
          <w:b w:val="false"/>
          <w:bCs w:val="false"/>
          <w:i w:val="false"/>
          <w:iCs w:val="false"/>
          <w:color w:val="000000"/>
          <w:sz w:val="20"/>
          <w:szCs w:val="20"/>
        </w:rPr>
        <w:t xml:space="preserve">Azure API Management rate-limit-by-key and quota-by-key policies applied per user and per functional group; maximum input and output token caps enforced at the gateway; Azure OpenAI Provisioned Throughput Units reserving capacity for priority functions with spillover to a standard deployment; Azure Monitor alert rules and Microsoft Cost Management budget alerts wired to an action group with a defined circuit-breaker; Microsoft Defender for Cloud anomaly detection on per-identity query volume.</w:t>
      </w:r>
    </w:p>
    <w:p>
      <w:pPr>
        <w:spacing w:after="60" w:before="0" w:line="264"/>
      </w:pPr>
      <w:r>
        <w:rPr>
          <w:rFonts w:ascii="Segoe UI" w:cs="Segoe UI" w:eastAsia="Segoe UI" w:hAnsi="Segoe UI"/>
          <w:b/>
          <w:bCs/>
          <w:i w:val="false"/>
          <w:iCs w:val="false"/>
          <w:color w:val="000000"/>
          <w:sz w:val="20"/>
          <w:szCs w:val="20"/>
        </w:rPr>
        <w:t xml:space="preserve">Accepted trade-off. </w:t>
      </w:r>
      <w:r>
        <w:rPr>
          <w:rFonts w:ascii="Segoe UI" w:cs="Segoe UI" w:eastAsia="Segoe UI" w:hAnsi="Segoe UI"/>
          <w:b w:val="false"/>
          <w:bCs w:val="false"/>
          <w:i w:val="false"/>
          <w:iCs w:val="false"/>
          <w:color w:val="000000"/>
          <w:sz w:val="20"/>
          <w:szCs w:val="20"/>
        </w:rPr>
        <w:t xml:space="preserve">Rate limits and token caps constrain legitimate heavy users — a compliance analyst running a bulk policy review will hit them — and output caps truncate long procedural answers. Provisioned throughput is a fixed cost incurred whether or not the reserved capacity is consumed. Contoso accepts this: predictable cost and protected availability for the majority outweigh unconstrained use by a few, with a documented exception path for bulk review.</w:t>
      </w:r>
    </w:p>
    <w:p>
      <w:pPr>
        <w:spacing w:after="80" w:before="260"/>
      </w:pPr>
      <w:r>
        <w:rPr>
          <w:rFonts w:ascii="Segoe UI" w:cs="Segoe UI" w:eastAsia="Segoe UI" w:hAnsi="Segoe UI"/>
          <w:b/>
          <w:bCs/>
          <w:i w:val="false"/>
          <w:iCs w:val="false"/>
          <w:color w:val="2C5282"/>
          <w:sz w:val="20"/>
          <w:szCs w:val="20"/>
        </w:rPr>
        <w:t xml:space="preserve">P-6  ·  STRIDE-E — Elevation of Privilege  ·  R-02</w:t>
      </w:r>
    </w:p>
    <w:p>
      <w:pPr>
        <w:spacing w:after="80" w:before="0" w:line="264"/>
      </w:pPr>
      <w:r>
        <w:rPr>
          <w:rFonts w:ascii="Segoe UI" w:cs="Segoe UI" w:eastAsia="Segoe UI" w:hAnsi="Segoe UI"/>
          <w:b/>
          <w:bCs/>
          <w:i w:val="false"/>
          <w:iCs w:val="false"/>
          <w:color w:val="000000"/>
          <w:sz w:val="20"/>
          <w:szCs w:val="20"/>
        </w:rPr>
        <w:t xml:space="preserve">Mitigation adopted. </w:t>
      </w:r>
      <w:r>
        <w:rPr>
          <w:rFonts w:ascii="Segoe UI" w:cs="Segoe UI" w:eastAsia="Segoe UI" w:hAnsi="Segoe UI"/>
          <w:b w:val="false"/>
          <w:bCs w:val="false"/>
          <w:i w:val="false"/>
          <w:iCs w:val="false"/>
          <w:color w:val="000000"/>
          <w:sz w:val="20"/>
          <w:szCs w:val="20"/>
        </w:rPr>
        <w:t xml:space="preserve">Azure AI Search security trimming with Entra ID group object IDs held in a filterable index field and applied as an OData filter derived server-side from the validated caller token — never from prompt content; deny-by-default on unlabelled documents; Microsoft Purview Information Protection labels driving the ACL field at index time; Azure OpenAI On Your Data configured to pass the caller identity rather than a service principal; an automated entitlement regression suite executed in the Azure DevOps release pipeline on every index rebuild and weekly thereafter; alerting on any retrieval returning a document outside the caller's group set.</w:t>
      </w:r>
    </w:p>
    <w:p>
      <w:pPr>
        <w:spacing w:after="60" w:before="0" w:line="264"/>
      </w:pPr>
      <w:r>
        <w:rPr>
          <w:rFonts w:ascii="Segoe UI" w:cs="Segoe UI" w:eastAsia="Segoe UI" w:hAnsi="Segoe UI"/>
          <w:b/>
          <w:bCs/>
          <w:i w:val="false"/>
          <w:iCs w:val="false"/>
          <w:color w:val="000000"/>
          <w:sz w:val="20"/>
          <w:szCs w:val="20"/>
        </w:rPr>
        <w:t xml:space="preserve">Accepted trade-off. </w:t>
      </w:r>
      <w:r>
        <w:rPr>
          <w:rFonts w:ascii="Segoe UI" w:cs="Segoe UI" w:eastAsia="Segoe UI" w:hAnsi="Segoe UI"/>
          <w:b w:val="false"/>
          <w:bCs w:val="false"/>
          <w:i w:val="false"/>
          <w:iCs w:val="false"/>
          <w:color w:val="000000"/>
          <w:sz w:val="20"/>
          <w:szCs w:val="20"/>
        </w:rPr>
        <w:t xml:space="preserve">Deriving the retrieval filter server-side from the caller's token means the assistant cannot honour legitimate delegated access — someone covering a colleague's queue sees only their own entitlement tier. Deny-by-default renders newly added unlabelled documents invisible until they are classified, creating a curation burden on content owners and a visible content lag. Contoso accepts this: silent over-disclosure has no detection signal, so the failure mode must be a visible under-disclosure.</w:t>
      </w:r>
    </w:p>
    <w:p>
      <w:pPr>
        <w:pStyle w:val="Heading1"/>
        <w:pBdr>
          <w:bottom w:val="single" w:color="1A365D" w:sz="8" w:space="4"/>
        </w:pBdr>
        <w:spacing w:after="140" w:before="320"/>
      </w:pPr>
      <w:r>
        <w:rPr>
          <w:rFonts w:ascii="Segoe UI" w:cs="Segoe UI" w:eastAsia="Segoe UI" w:hAnsi="Segoe UI"/>
          <w:b/>
          <w:bCs/>
          <w:i w:val="false"/>
          <w:iCs w:val="false"/>
          <w:color w:val="1A365D"/>
          <w:sz w:val="26"/>
          <w:szCs w:val="26"/>
        </w:rPr>
        <w:t xml:space="preserve">3. Strategic Alignment Justification</w:t>
      </w:r>
    </w:p>
    <w:p>
      <w:pPr>
        <w:spacing w:after="100" w:before="60" w:line="264"/>
      </w:pPr>
      <w:r>
        <w:rPr>
          <w:rFonts w:ascii="Segoe UI" w:cs="Segoe UI" w:eastAsia="Segoe UI" w:hAnsi="Segoe UI"/>
          <w:b w:val="false"/>
          <w:bCs w:val="false"/>
          <w:i w:val="false"/>
          <w:iCs w:val="false"/>
          <w:color w:val="000000"/>
          <w:sz w:val="20"/>
          <w:szCs w:val="20"/>
        </w:rPr>
        <w:t xml:space="preserve">Each pairing is justified against Contoso's three Corporate Security Strategy Pillars. No pairing is adopted that does not serve at least one.</w:t>
      </w:r>
    </w:p>
    <w:p>
      <w:pPr>
        <w:pStyle w:val="Heading2"/>
        <w:spacing w:after="90" w:before="220"/>
      </w:pPr>
      <w:r>
        <w:rPr>
          <w:rFonts w:ascii="Segoe UI" w:cs="Segoe UI" w:eastAsia="Segoe UI" w:hAnsi="Segoe UI"/>
          <w:b/>
          <w:bCs/>
          <w:i w:val="false"/>
          <w:iCs w:val="false"/>
          <w:color w:val="2C5282"/>
          <w:sz w:val="22"/>
          <w:szCs w:val="22"/>
        </w:rPr>
        <w:t xml:space="preserve">Pillar 1 — Confidentiality &amp; Perimeter Security</w:t>
      </w:r>
    </w:p>
    <w:p>
      <w:pPr>
        <w:spacing w:after="100" w:before="60" w:line="264"/>
      </w:pPr>
      <w:r>
        <w:rPr>
          <w:rFonts w:ascii="Segoe UI" w:cs="Segoe UI" w:eastAsia="Segoe UI" w:hAnsi="Segoe UI"/>
          <w:b w:val="false"/>
          <w:bCs w:val="false"/>
          <w:i w:val="false"/>
          <w:iCs w:val="false"/>
          <w:color w:val="000000"/>
          <w:sz w:val="20"/>
          <w:szCs w:val="20"/>
        </w:rPr>
        <w:t xml:space="preserve">Azure Virtual Network isolation with a private endpoint removes the public attack surface entirely, so no cross-tenant path exists to defend. Azure AI Search security trimming (P-6) enforces the horizontal boundary between entitlement tiers inside the tenant, which is where the residual leakage path actually sits once the perimeter is closed. Entra ID Conditional Access (P-1) establishes that the caller is who the trimming filter assumes them to be, and Microsoft Purview DLP with sensitivity labels (P-4) keeps excluded categories out of the corpus so the boundary is enforced at ingestion as well as at retrieval.</w:t>
      </w:r>
    </w:p>
    <w:p>
      <w:pPr>
        <w:pStyle w:val="Heading2"/>
        <w:spacing w:after="90" w:before="220"/>
      </w:pPr>
      <w:r>
        <w:rPr>
          <w:rFonts w:ascii="Segoe UI" w:cs="Segoe UI" w:eastAsia="Segoe UI" w:hAnsi="Segoe UI"/>
          <w:b/>
          <w:bCs/>
          <w:i w:val="false"/>
          <w:iCs w:val="false"/>
          <w:color w:val="2C5282"/>
          <w:sz w:val="22"/>
          <w:szCs w:val="22"/>
        </w:rPr>
        <w:t xml:space="preserve">Pillar 2 — Data Integrity &amp; Provenance</w:t>
      </w:r>
    </w:p>
    <w:p>
      <w:pPr>
        <w:spacing w:after="100" w:before="60" w:line="264"/>
      </w:pPr>
      <w:r>
        <w:rPr>
          <w:rFonts w:ascii="Segoe UI" w:cs="Segoe UI" w:eastAsia="Segoe UI" w:hAnsi="Segoe UI"/>
          <w:b w:val="false"/>
          <w:bCs w:val="false"/>
          <w:i w:val="false"/>
          <w:iCs w:val="false"/>
          <w:color w:val="000000"/>
          <w:sz w:val="20"/>
          <w:szCs w:val="20"/>
        </w:rPr>
        <w:t xml:space="preserve">Immutable (WORM) blob storage with SHA-256 hash re-verification (P-2) makes the retrieval corpus provably unaltered, and automated de-indexing on supersession keeps it current. Azure AI Content Safety Prompt Shields (P-4) protect the prompt template itself from adversarial manipulation, and the strict separation of instruction from retrieved data means indexed content is never executed as instruction. Groundedness detection ensures a synthesised answer is traceable to a verified source document rather than to model priors.</w:t>
      </w:r>
    </w:p>
    <w:p>
      <w:pPr>
        <w:pStyle w:val="Heading2"/>
        <w:spacing w:after="90" w:before="220"/>
      </w:pPr>
      <w:r>
        <w:rPr>
          <w:rFonts w:ascii="Segoe UI" w:cs="Segoe UI" w:eastAsia="Segoe UI" w:hAnsi="Segoe UI"/>
          <w:b/>
          <w:bCs/>
          <w:i w:val="false"/>
          <w:iCs w:val="false"/>
          <w:color w:val="2C5282"/>
          <w:sz w:val="22"/>
          <w:szCs w:val="22"/>
        </w:rPr>
        <w:t xml:space="preserve">Pillar 3 — Auditability &amp; Logging Non-Repudiation</w:t>
      </w:r>
    </w:p>
    <w:p>
      <w:pPr>
        <w:spacing w:after="100" w:before="60" w:line="264"/>
      </w:pPr>
      <w:r>
        <w:rPr>
          <w:rFonts w:ascii="Segoe UI" w:cs="Segoe UI" w:eastAsia="Segoe UI" w:hAnsi="Segoe UI"/>
          <w:b w:val="false"/>
          <w:bCs w:val="false"/>
          <w:i w:val="false"/>
          <w:iCs w:val="false"/>
          <w:color w:val="000000"/>
          <w:sz w:val="20"/>
          <w:szCs w:val="20"/>
        </w:rPr>
        <w:t xml:space="preserve">Microsoft Purview Audit under an immutable time-based retention policy (P-3) guarantees a forensic trail that cannot be altered after the fact, and propagating the Entra ID object identifier as a correlation ID makes that trail user-attributed rather than merely chronological. Logging retrieved document IDs and versions alongside the output hash allows a past answer to be reconstructed exactly, including which source grounded it. Capacity and cost telemetry (P-5) and retrieval-anomaly alerting (P-6) extend the same evidential discipline to availability and entitlement events.</w:t>
      </w:r>
    </w:p>
    <w:p>
      <w:pPr>
        <w:pStyle w:val="Heading1"/>
        <w:pBdr>
          <w:bottom w:val="single" w:color="1A365D" w:sz="8" w:space="4"/>
        </w:pBdr>
        <w:spacing w:after="140" w:before="320"/>
      </w:pPr>
      <w:r>
        <w:rPr>
          <w:rFonts w:ascii="Segoe UI" w:cs="Segoe UI" w:eastAsia="Segoe UI" w:hAnsi="Segoe UI"/>
          <w:b/>
          <w:bCs/>
          <w:i w:val="false"/>
          <w:iCs w:val="false"/>
          <w:color w:val="1A365D"/>
          <w:sz w:val="26"/>
          <w:szCs w:val="26"/>
        </w:rPr>
        <w:t xml:space="preserve">4. Alternatives Considered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3100"/>
        <w:gridCol w:w="4930"/>
      </w:tblGrid>
      <w:tr>
        <w:trPr>
          <w:tblHeader/>
        </w:trPr>
        <w:tc>
          <w:tcPr>
            <w:tcW w:type="dxa" w:w="205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Alternative</w:t>
            </w:r>
          </w:p>
        </w:tc>
        <w:tc>
          <w:tcPr>
            <w:tcW w:type="dxa" w:w="310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Technical architecture</w:t>
            </w:r>
          </w:p>
        </w:tc>
        <w:tc>
          <w:tcPr>
            <w:tcW w:type="dxa" w:w="493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Reason for rejection</w:t>
            </w:r>
          </w:p>
        </w:tc>
      </w:tr>
      <w:tr>
        <w:tc>
          <w:tcPr>
            <w:tcW w:type="dxa" w:w="205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A public or shared model endpoint</w:t>
            </w:r>
          </w:p>
        </w:tc>
        <w:tc>
          <w:tcPr>
            <w:tcW w:type="dxa" w:w="31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Consume Azure OpenAI over its public endpoint, or call a third-party model API, with application-layer controls only.</w:t>
            </w:r>
          </w:p>
        </w:tc>
        <w:tc>
          <w:tcPr>
            <w:tcW w:type="dxa" w:w="493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Rejected. Contoso content would traverse a path outside the tenant boundary and no Virtual Network isolation would be possible. This fails Pillar 1 at the first hurdle and would make the R-05 exposure materially worse than the figure modelled.</w:t>
            </w:r>
          </w:p>
        </w:tc>
      </w:tr>
      <w:tr>
        <w:tc>
          <w:tcPr>
            <w:tcW w:type="dxa" w:w="205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Fine-tuning instead of retrieval</w:t>
            </w:r>
          </w:p>
        </w:tc>
        <w:tc>
          <w:tcPr>
            <w:tcW w:type="dxa" w:w="31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Fine-tune a model on the internal corpus and serve answers from the weights, removing the retrieval layer.</w:t>
            </w:r>
          </w:p>
        </w:tc>
        <w:tc>
          <w:tcPr>
            <w:tcW w:type="dxa" w:w="493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Rejected. Content baked into weights cannot be security-trimmed — there is no filter that can apply an entitlement boundary to a parameter — so STRIDE-E becomes structurally unmitigable. Supersession would also require retraining, defeating P-2. Fails Pillars 1 and 2.</w:t>
            </w:r>
          </w:p>
        </w:tc>
      </w:tr>
      <w:tr>
        <w:tc>
          <w:tcPr>
            <w:tcW w:type="dxa" w:w="205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Application-layer filtering alone</w:t>
            </w:r>
          </w:p>
        </w:tc>
        <w:tc>
          <w:tcPr>
            <w:tcW w:type="dxa" w:w="31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Extend the existing input regex token validation pipeline and rely on it as the primary control.</w:t>
            </w:r>
          </w:p>
        </w:tc>
        <w:tc>
          <w:tcPr>
            <w:tcW w:type="dxa" w:w="493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Rejected. Regex validation cannot enforce entitlement, cannot verify corpus integrity, and fails open against paraphrase and encoding variation. Retained as one component of P-4, but rejected as an architecture.</w:t>
            </w:r>
          </w:p>
        </w:tc>
      </w:tr>
      <w:tr>
        <w:tc>
          <w:tcPr>
            <w:tcW w:type="dxa" w:w="205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Prompt-based access rules</w:t>
            </w:r>
          </w:p>
        </w:tc>
        <w:tc>
          <w:tcPr>
            <w:tcW w:type="dxa" w:w="31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Instruct the model in its system prompt not to reveal restricted content, and rely on that instruction as the access control.</w:t>
            </w:r>
          </w:p>
        </w:tc>
        <w:tc>
          <w:tcPr>
            <w:tcW w:type="dxa" w:w="493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Rejected on principle. Instructions in the prompt are data to an attacker, and overriding them is precisely the mechanism STRIDE-I describes. A prompt is never an access control; this alternative is recorded because it is a common and superficially attractive shortcut.</w:t>
            </w:r>
          </w:p>
        </w:tc>
      </w:tr>
      <w:tr>
        <w:tc>
          <w:tcPr>
            <w:tcW w:type="dxa" w:w="205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Deferring telemetry to 30 days post go-live</w:t>
            </w:r>
          </w:p>
        </w:tc>
        <w:tc>
          <w:tcPr>
            <w:tcW w:type="dxa" w:w="31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Follow the existing controls inventory, which schedules Microsoft Purview immutable logging for the first 30 days after go-live.</w:t>
            </w:r>
          </w:p>
        </w:tc>
        <w:tc>
          <w:tcPr>
            <w:tcW w:type="dxa" w:w="493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Rejected. Non-repudiation cannot be applied retrospectively to interactions that have already occurred, and the fail-closed design in P-3 makes telemetry a hard dependency rather than an enhancement. This ADR moves that control earlier than the existing inventory schedules it, and the Control Alignment Matrix is updated accordingly.</w:t>
            </w:r>
          </w:p>
        </w:tc>
      </w:tr>
    </w:tbl>
    <w:p>
      <w:pPr>
        <w:pStyle w:val="Heading1"/>
        <w:pBdr>
          <w:bottom w:val="single" w:color="1A365D" w:sz="8" w:space="4"/>
        </w:pBdr>
        <w:spacing w:after="140" w:before="320"/>
      </w:pPr>
      <w:r>
        <w:rPr>
          <w:rFonts w:ascii="Segoe UI" w:cs="Segoe UI" w:eastAsia="Segoe UI" w:hAnsi="Segoe UI"/>
          <w:b/>
          <w:bCs/>
          <w:i w:val="false"/>
          <w:iCs w:val="false"/>
          <w:color w:val="1A365D"/>
          <w:sz w:val="26"/>
          <w:szCs w:val="26"/>
        </w:rPr>
        <w:t xml:space="preserve">5. Technical Consequences &amp; Trade-offs</w:t>
      </w:r>
    </w:p>
    <w:p>
      <w:pPr>
        <w:pStyle w:val="Heading2"/>
        <w:spacing w:after="90" w:before="220"/>
      </w:pPr>
      <w:r>
        <w:rPr>
          <w:rFonts w:ascii="Segoe UI" w:cs="Segoe UI" w:eastAsia="Segoe UI" w:hAnsi="Segoe UI"/>
          <w:b/>
          <w:bCs/>
          <w:i w:val="false"/>
          <w:iCs w:val="false"/>
          <w:color w:val="2C5282"/>
          <w:sz w:val="22"/>
          <w:szCs w:val="22"/>
        </w:rPr>
        <w:t xml:space="preserve">Positive impacts</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Modelled maximum annual loss exposure for the principal disclosure scenario falls from approximately $6.0M to approximately $0.64M once both the ingestion and endpoint control sets are in place — an 89 per cent reduction on the sensitivity model.</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No risk in the register remains in the High residual band once the pairings are delivered; five remain Medium and form the conditions attached to the governance recommendation.</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Every control is Microsoft-native and inside the existing tenant, so there is no new supplier to onboard, no new data-processing agreement, and no extension of the third-party risk perimeter.</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Security trimming derived from Entra ID group membership reuses entitlement data Contoso already maintains, rather than creating a parallel authorisation model that would drift.</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Fail-closed telemetry converts non-repudiation from a monitoring aspiration into a structural property of the system.</w:t>
      </w:r>
    </w:p>
    <w:p>
      <w:pPr>
        <w:pStyle w:val="Heading2"/>
        <w:spacing w:after="90" w:before="220"/>
      </w:pPr>
      <w:r>
        <w:rPr>
          <w:rFonts w:ascii="Segoe UI" w:cs="Segoe UI" w:eastAsia="Segoe UI" w:hAnsi="Segoe UI"/>
          <w:b/>
          <w:bCs/>
          <w:i w:val="false"/>
          <w:iCs w:val="false"/>
          <w:color w:val="2C5282"/>
          <w:sz w:val="22"/>
          <w:szCs w:val="22"/>
        </w:rPr>
        <w:t xml:space="preserve">Negative impacts</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Latency increases on every call: Prompt Shields, groundedness detection and outbound filtering each add processing before a response is returned.</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Provisioned Throughput Units are a fixed cost incurred whether or not the reserved capacity is consumed, and must be budgeted independently of usage growth.</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Deny-by-default on unlabelled documents imposes an ongoing classification burden on content owners and creates a visible lag between a document being published and becoming answerable.</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False positives from content filtering will block some legitimate queries on sensitive-sounding subjects; the existing controls inventory already records this as an open tuning gap, and a human fallback path is required from day one.</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Batch corpus updates mean the assistant can lag a policy correction by up to 24 hours.</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Conditional Access and Continuous Access Evaluation increase service-desk volume and remove access entirely for staff on unmanaged devices.</w:t>
      </w:r>
    </w:p>
    <w:p>
      <w:pPr>
        <w:pStyle w:val="ListParagraph"/>
        <w:numPr>
          <w:ilvl w:val="0"/>
          <w:numId w:val="2"/>
        </w:numPr>
        <w:spacing w:after="60" w:before="40" w:line="264"/>
      </w:pPr>
      <w:r>
        <w:rPr>
          <w:rFonts w:ascii="Segoe UI" w:cs="Segoe UI" w:eastAsia="Segoe UI" w:hAnsi="Segoe UI"/>
          <w:b w:val="false"/>
          <w:bCs w:val="false"/>
          <w:i w:val="false"/>
          <w:iCs w:val="false"/>
          <w:color w:val="000000"/>
          <w:sz w:val="20"/>
          <w:szCs w:val="20"/>
        </w:rPr>
        <w:t xml:space="preserve">Fail-closed logging means a Purview or Azure Monitor outage takes the assistant offline — availability is deliberately subordinated to evidential integrity.</w:t>
      </w:r>
    </w:p>
    <w:p>
      <w:pPr>
        <w:pStyle w:val="Heading2"/>
        <w:spacing w:after="90" w:before="220"/>
      </w:pPr>
      <w:r>
        <w:rPr>
          <w:rFonts w:ascii="Segoe UI" w:cs="Segoe UI" w:eastAsia="Segoe UI" w:hAnsi="Segoe UI"/>
          <w:b/>
          <w:bCs/>
          <w:i w:val="false"/>
          <w:iCs w:val="false"/>
          <w:color w:val="2C5282"/>
          <w:sz w:val="22"/>
          <w:szCs w:val="22"/>
        </w:rPr>
        <w:t xml:space="preserve">Aggregate trade-off posture</w:t>
      </w:r>
    </w:p>
    <w:p>
      <w:pPr>
        <w:spacing w:after="100" w:before="60" w:line="264"/>
      </w:pPr>
      <w:r>
        <w:rPr>
          <w:rFonts w:ascii="Segoe UI" w:cs="Segoe UI" w:eastAsia="Segoe UI" w:hAnsi="Segoe UI"/>
          <w:b w:val="false"/>
          <w:bCs w:val="false"/>
          <w:i w:val="false"/>
          <w:iCs w:val="false"/>
          <w:color w:val="000000"/>
          <w:sz w:val="20"/>
          <w:szCs w:val="20"/>
        </w:rPr>
        <w:t xml:space="preserve">Read together, these pairings trade convenience, latency and a degree of availability for confidentiality, provenance and evidential integrity. That direction is deliberate and it is the direction a regulated financial services deployment should take: the failure modes Contoso is accepting are visible ones — a blocked query, a delayed document, a re-authentication prompt — while the failure modes being designed out are silent ones, which accumulate undetected and surface as a supervisory finding rather than a help-desk ticket.</w:t>
      </w:r>
    </w:p>
    <w:p>
      <w:r>
        <w:br w:type="page"/>
      </w:r>
    </w:p>
    <w:p>
      <w:pPr>
        <w:pStyle w:val="Heading1"/>
        <w:pBdr>
          <w:bottom w:val="single" w:color="1A365D" w:sz="8" w:space="4"/>
        </w:pBdr>
        <w:spacing w:after="140" w:before="320"/>
      </w:pPr>
      <w:r>
        <w:rPr>
          <w:rFonts w:ascii="Segoe UI" w:cs="Segoe UI" w:eastAsia="Segoe UI" w:hAnsi="Segoe UI"/>
          <w:b/>
          <w:bCs/>
          <w:i w:val="false"/>
          <w:iCs w:val="false"/>
          <w:color w:val="1A365D"/>
          <w:sz w:val="26"/>
          <w:szCs w:val="26"/>
        </w:rPr>
        <w:t xml:space="preserve">Appendix A — Pairing Completeness Check</w:t>
      </w:r>
    </w:p>
    <w:p>
      <w:pPr>
        <w:spacing w:after="100" w:before="60" w:line="264"/>
      </w:pPr>
      <w:r>
        <w:rPr>
          <w:rFonts w:ascii="Segoe UI" w:cs="Segoe UI" w:eastAsia="Segoe UI" w:hAnsi="Segoe UI"/>
          <w:b w:val="false"/>
          <w:bCs w:val="false"/>
          <w:i w:val="false"/>
          <w:iCs w:val="false"/>
          <w:color w:val="000000"/>
          <w:sz w:val="20"/>
          <w:szCs w:val="20"/>
        </w:rPr>
        <w:t xml:space="preserve">Recorded so the Executive Risk Committee can verify directly that no threat-mitigation orphan exists in this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500"/>
        <w:gridCol w:w="1900"/>
        <w:gridCol w:w="2580"/>
      </w:tblGrid>
      <w:tr>
        <w:trPr>
          <w:tblHeader/>
        </w:trPr>
        <w:tc>
          <w:tcPr>
            <w:tcW w:type="dxa" w:w="160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STRIDE threat</w:t>
            </w:r>
          </w:p>
        </w:tc>
        <w:tc>
          <w:tcPr>
            <w:tcW w:type="dxa" w:w="250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Paired mitigation</w:t>
            </w:r>
          </w:p>
        </w:tc>
        <w:tc>
          <w:tcPr>
            <w:tcW w:type="dxa" w:w="150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Register risk</w:t>
            </w:r>
          </w:p>
        </w:tc>
        <w:tc>
          <w:tcPr>
            <w:tcW w:type="dxa" w:w="190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Pairing ID</w:t>
            </w:r>
          </w:p>
        </w:tc>
        <w:tc>
          <w:tcPr>
            <w:tcW w:type="dxa" w:w="2580"/>
            <w:shd w:fill="2C5282" w:color="auto" w:val="clear"/>
            <w:tcMar>
              <w:top w:type="dxa" w:w="90"/>
              <w:left w:type="dxa" w:w="110"/>
              <w:bottom w:type="dxa" w:w="90"/>
              <w:right w:type="dxa" w:w="110"/>
            </w:tcMar>
          </w:tcPr>
          <w:p>
            <w:pPr>
              <w:spacing w:after="0" w:before="0"/>
            </w:pPr>
            <w:r>
              <w:rPr>
                <w:rFonts w:ascii="Segoe UI" w:cs="Segoe UI" w:eastAsia="Segoe UI" w:hAnsi="Segoe UI"/>
                <w:b/>
                <w:bCs/>
                <w:i w:val="false"/>
                <w:iCs w:val="false"/>
                <w:color w:val="FFFFFF"/>
                <w:sz w:val="18"/>
                <w:szCs w:val="18"/>
              </w:rPr>
              <w:t xml:space="preserve">Result</w:t>
            </w:r>
          </w:p>
        </w:tc>
      </w:tr>
      <w:tr>
        <w:tc>
          <w:tcPr>
            <w:tcW w:type="dxa" w:w="160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STRIDE-S — Spoofing</w:t>
            </w:r>
          </w:p>
        </w:tc>
        <w:tc>
          <w:tcPr>
            <w:tcW w:type="dxa" w:w="25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Identity boundary control set</w:t>
            </w:r>
          </w:p>
        </w:tc>
        <w:tc>
          <w:tcPr>
            <w:tcW w:type="dxa" w:w="15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R-11</w:t>
            </w:r>
          </w:p>
        </w:tc>
        <w:tc>
          <w:tcPr>
            <w:tcW w:type="dxa" w:w="19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P-1</w:t>
            </w:r>
          </w:p>
        </w:tc>
        <w:tc>
          <w:tcPr>
            <w:tcW w:type="dxa" w:w="25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PAIRED</w:t>
            </w:r>
          </w:p>
        </w:tc>
      </w:tr>
      <w:tr>
        <w:tc>
          <w:tcPr>
            <w:tcW w:type="dxa" w:w="160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STRIDE-T — Tampering</w:t>
            </w:r>
          </w:p>
        </w:tc>
        <w:tc>
          <w:tcPr>
            <w:tcW w:type="dxa" w:w="25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Corpus integrity boundary control set</w:t>
            </w:r>
          </w:p>
        </w:tc>
        <w:tc>
          <w:tcPr>
            <w:tcW w:type="dxa" w:w="15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R-03</w:t>
            </w:r>
          </w:p>
        </w:tc>
        <w:tc>
          <w:tcPr>
            <w:tcW w:type="dxa" w:w="19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P-2</w:t>
            </w:r>
          </w:p>
        </w:tc>
        <w:tc>
          <w:tcPr>
            <w:tcW w:type="dxa" w:w="25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PAIRED</w:t>
            </w:r>
          </w:p>
        </w:tc>
      </w:tr>
      <w:tr>
        <w:tc>
          <w:tcPr>
            <w:tcW w:type="dxa" w:w="160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STRIDE-R — Repudiation</w:t>
            </w:r>
          </w:p>
        </w:tc>
        <w:tc>
          <w:tcPr>
            <w:tcW w:type="dxa" w:w="25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Evidence boundary control set</w:t>
            </w:r>
          </w:p>
        </w:tc>
        <w:tc>
          <w:tcPr>
            <w:tcW w:type="dxa" w:w="15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R-10</w:t>
            </w:r>
          </w:p>
        </w:tc>
        <w:tc>
          <w:tcPr>
            <w:tcW w:type="dxa" w:w="19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P-3</w:t>
            </w:r>
          </w:p>
        </w:tc>
        <w:tc>
          <w:tcPr>
            <w:tcW w:type="dxa" w:w="25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PAIRED</w:t>
            </w:r>
          </w:p>
        </w:tc>
      </w:tr>
      <w:tr>
        <w:tc>
          <w:tcPr>
            <w:tcW w:type="dxa" w:w="160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STRIDE-I — Information Disclosure</w:t>
            </w:r>
          </w:p>
        </w:tc>
        <w:tc>
          <w:tcPr>
            <w:tcW w:type="dxa" w:w="25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Content boundary control set</w:t>
            </w:r>
          </w:p>
        </w:tc>
        <w:tc>
          <w:tcPr>
            <w:tcW w:type="dxa" w:w="15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R-05 (primary), R-01 (enabling)</w:t>
            </w:r>
          </w:p>
        </w:tc>
        <w:tc>
          <w:tcPr>
            <w:tcW w:type="dxa" w:w="19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P-4</w:t>
            </w:r>
          </w:p>
        </w:tc>
        <w:tc>
          <w:tcPr>
            <w:tcW w:type="dxa" w:w="25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PAIRED</w:t>
            </w:r>
          </w:p>
        </w:tc>
      </w:tr>
      <w:tr>
        <w:tc>
          <w:tcPr>
            <w:tcW w:type="dxa" w:w="1600"/>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STRIDE-D — Denial of Service</w:t>
            </w:r>
          </w:p>
        </w:tc>
        <w:tc>
          <w:tcPr>
            <w:tcW w:type="dxa" w:w="25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Capacity boundary control set</w:t>
            </w:r>
          </w:p>
        </w:tc>
        <w:tc>
          <w:tcPr>
            <w:tcW w:type="dxa" w:w="15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R-07</w:t>
            </w:r>
          </w:p>
        </w:tc>
        <w:tc>
          <w:tcPr>
            <w:tcW w:type="dxa" w:w="190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P-5</w:t>
            </w:r>
          </w:p>
        </w:tc>
        <w:tc>
          <w:tcPr>
            <w:tcW w:type="dxa" w:w="2580"/>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PAIRED</w:t>
            </w:r>
          </w:p>
        </w:tc>
      </w:tr>
      <w:tr>
        <w:tc>
          <w:tcPr>
            <w:tcW w:type="dxa" w:w="1600"/>
            <w:shd w:fill="F7FAFC" w:color="auto" w:val="clear"/>
            <w:tcMar>
              <w:top w:type="dxa" w:w="90"/>
              <w:left w:type="dxa" w:w="110"/>
              <w:bottom w:type="dxa" w:w="90"/>
              <w:right w:type="dxa" w:w="110"/>
            </w:tcMar>
          </w:tcPr>
          <w:p>
            <w:pPr>
              <w:spacing w:after="0" w:before="0" w:line="250"/>
            </w:pPr>
            <w:r>
              <w:rPr>
                <w:rFonts w:ascii="Segoe UI" w:cs="Segoe UI" w:eastAsia="Segoe UI" w:hAnsi="Segoe UI"/>
                <w:b/>
                <w:bCs/>
                <w:i w:val="false"/>
                <w:iCs w:val="false"/>
                <w:color w:val="000000"/>
                <w:sz w:val="17"/>
                <w:szCs w:val="17"/>
              </w:rPr>
              <w:t xml:space="preserve">STRIDE-E — Elevation of Privilege</w:t>
            </w:r>
          </w:p>
        </w:tc>
        <w:tc>
          <w:tcPr>
            <w:tcW w:type="dxa" w:w="25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Retrieval authorisation boundary control set</w:t>
            </w:r>
          </w:p>
        </w:tc>
        <w:tc>
          <w:tcPr>
            <w:tcW w:type="dxa" w:w="15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R-02</w:t>
            </w:r>
          </w:p>
        </w:tc>
        <w:tc>
          <w:tcPr>
            <w:tcW w:type="dxa" w:w="190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P-6</w:t>
            </w:r>
          </w:p>
        </w:tc>
        <w:tc>
          <w:tcPr>
            <w:tcW w:type="dxa" w:w="2580"/>
            <w:shd w:fill="F7FAFC" w:color="auto" w:val="clear"/>
            <w:tcMar>
              <w:top w:type="dxa" w:w="90"/>
              <w:left w:type="dxa" w:w="110"/>
              <w:bottom w:type="dxa" w:w="90"/>
              <w:right w:type="dxa" w:w="110"/>
            </w:tcMar>
          </w:tcPr>
          <w:p>
            <w:pPr>
              <w:spacing w:after="0" w:before="0" w:line="250"/>
            </w:pPr>
            <w:r>
              <w:rPr>
                <w:rFonts w:ascii="Segoe UI" w:cs="Segoe UI" w:eastAsia="Segoe UI" w:hAnsi="Segoe UI"/>
                <w:b w:val="false"/>
                <w:bCs w:val="false"/>
                <w:i w:val="false"/>
                <w:iCs w:val="false"/>
                <w:color w:val="000000"/>
                <w:sz w:val="17"/>
                <w:szCs w:val="17"/>
              </w:rPr>
              <w:t xml:space="preserve">PAIRED</w:t>
            </w:r>
          </w:p>
        </w:tc>
      </w:tr>
    </w:tbl>
    <w:p>
      <w:pPr>
        <w:spacing w:after="100" w:before="160" w:line="264"/>
      </w:pPr>
      <w:r>
        <w:rPr>
          <w:rFonts w:ascii="Segoe UI" w:cs="Segoe UI" w:eastAsia="Segoe UI" w:hAnsi="Segoe UI"/>
          <w:b w:val="false"/>
          <w:bCs w:val="false"/>
          <w:i/>
          <w:iCs/>
          <w:color w:val="4A5568"/>
          <w:sz w:val="20"/>
          <w:szCs w:val="20"/>
        </w:rPr>
        <w:t xml:space="preserve">Six STRIDE threats. Six paired mitigations. Zero orphans. Every cited risk identifier already exists in the AI Risk Register; no new risk is introduced by this record.</w:t>
      </w:r>
    </w:p>
    <w:p>
      <w:pPr>
        <w:spacing w:after="100" w:before="120" w:line="264"/>
      </w:pPr>
      <w:r>
        <w:rPr>
          <w:rFonts w:ascii="Segoe UI" w:cs="Segoe UI" w:eastAsia="Segoe UI" w:hAnsi="Segoe UI"/>
          <w:b w:val="false"/>
          <w:bCs w:val="false"/>
          <w:i w:val="false"/>
          <w:iCs w:val="false"/>
          <w:color w:val="000000"/>
          <w:sz w:val="20"/>
          <w:szCs w:val="20"/>
        </w:rPr>
        <w:t xml:space="preserve">Register risks R-04, R-06, R-08 and R-09 carry no STRIDE pairing. This is correct rather than a gap: they are quality, compliance and governance risks with no adversary — ungrounded output, jurisdictional context error, supplier model lifecycle change, and human over-reliance respectively. They are treated through measurement and governance controls documented in the Control Alignment Matrix, not through threat mitigation.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6"/>
      </w:pBdr>
      <w:jc w:val="center"/>
    </w:pPr>
    <w:r>
      <w:rPr>
        <w:rFonts w:ascii="Segoe UI" w:cs="Segoe UI" w:eastAsia="Segoe UI" w:hAnsi="Segoe UI"/>
        <w:b w:val="false"/>
        <w:bCs w:val="false"/>
        <w:i w:val="false"/>
        <w:iCs w:val="false"/>
        <w:color w:val="4A5568"/>
        <w:sz w:val="16"/>
        <w:szCs w:val="16"/>
      </w:rPr>
      <w:t xml:space="preserve">Contoso Financial Service  —  ADR-001  —  Executive Risk Committee            Page </w:t>
    </w:r>
    <w:r>
      <w:rPr>
        <w:rFonts w:ascii="Segoe UI" w:cs="Segoe UI" w:eastAsia="Segoe UI" w:hAnsi="Segoe U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ADR-001 Defence-in-Depth Protection of the Azure OpenAI Inference Endpoint</dc:title>
  <dc:creator>Contoso Financial Service — Information Security</dc:creator>
  <cp:lastModifiedBy>Un-named</cp:lastModifiedBy>
  <cp:revision>1</cp:revision>
  <dcterms:created xsi:type="dcterms:W3CDTF">2026-08-25T22:21:20.465Z</dcterms:created>
  <dcterms:modified xsi:type="dcterms:W3CDTF">2026-08-25T22:21:20.466Z</dcterms:modified>
</cp:coreProperties>
</file>

<file path=docProps/custom.xml><?xml version="1.0" encoding="utf-8"?>
<Properties xmlns="http://schemas.openxmlformats.org/officeDocument/2006/custom-properties" xmlns:vt="http://schemas.openxmlformats.org/officeDocument/2006/docPropsVTypes"/>
</file>