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pPr>
      <w:r>
        <w:rPr>
          <w:rFonts w:ascii="Segoe UI" w:hAnsi="Segoe UI"/>
          <w:b/>
          <w:color w:val="1A365D"/>
          <w:sz w:val="48"/>
        </w:rPr>
        <w:t>Architecture Decision Record (ADR) Template</w:t>
      </w:r>
    </w:p>
    <w:p>
      <w:pPr>
        <w:spacing w:before="0" w:after="480" w:line="276" w:lineRule="auto"/>
      </w:pPr>
      <w:r>
        <w:rPr>
          <w:rFonts w:ascii="Segoe UI" w:hAnsi="Segoe UI"/>
          <w:i/>
          <w:color w:val="718096"/>
          <w:sz w:val="22"/>
        </w:rPr>
        <w:t>Contoso Financial Service • GenAI Knowledge Assistant Infrastructure</w:t>
      </w:r>
    </w:p>
    <w:p>
      <w:pPr>
        <w:spacing w:before="0" w:after="120" w:line="276" w:lineRule="auto"/>
      </w:pPr>
      <w:r>
        <w:rPr>
          <w:rFonts w:ascii="Segoe UI" w:hAnsi="Segoe UI"/>
          <w:b/>
          <w:color w:val="2D3748"/>
          <w:sz w:val="21"/>
        </w:rPr>
        <w:t xml:space="preserve">Document ID Reference: </w:t>
      </w:r>
      <w:r>
        <w:rPr>
          <w:rFonts w:ascii="Segoe UI" w:hAnsi="Segoe UI"/>
          <w:i w:val="0"/>
          <w:color w:val="2D3748"/>
          <w:sz w:val="21"/>
        </w:rPr>
        <w:t xml:space="preserve"> ADR-</w:t>
      </w:r>
    </w:p>
    <w:p>
      <w:pPr>
        <w:spacing w:before="0" w:after="120" w:line="276" w:lineRule="auto"/>
      </w:pPr>
      <w:r>
        <w:rPr>
          <w:rFonts w:ascii="Segoe UI" w:hAnsi="Segoe UI"/>
          <w:b/>
          <w:color w:val="2D3748"/>
          <w:sz w:val="21"/>
        </w:rPr>
        <w:t xml:space="preserve">Title: </w:t>
      </w:r>
      <w:r>
        <w:rPr>
          <w:rFonts w:ascii="Segoe UI" w:hAnsi="Segoe UI"/>
          <w:i w:val="0"/>
          <w:color w:val="2D3748"/>
          <w:sz w:val="21"/>
        </w:rPr>
        <w:t xml:space="preserve"> [Insert Descriptive Architecture Title, e.g., Token-based Authentication Integration]</w:t>
      </w:r>
    </w:p>
    <w:p>
      <w:pPr>
        <w:spacing w:before="0" w:after="120" w:line="276" w:lineRule="auto"/>
      </w:pPr>
      <w:r>
        <w:rPr>
          <w:rFonts w:ascii="Segoe UI" w:hAnsi="Segoe UI"/>
          <w:b/>
          <w:color w:val="2D3748"/>
          <w:sz w:val="21"/>
        </w:rPr>
        <w:t xml:space="preserve">Status: </w:t>
      </w:r>
      <w:r>
        <w:rPr>
          <w:rFonts w:ascii="Segoe UI" w:hAnsi="Segoe UI"/>
          <w:i w:val="0"/>
          <w:color w:val="2D3748"/>
          <w:sz w:val="21"/>
        </w:rPr>
        <w:t xml:space="preserve"> [Active / Approved / Under Review / Superseded]</w:t>
      </w:r>
    </w:p>
    <w:p>
      <w:pPr>
        <w:spacing w:before="0" w:after="120" w:line="276" w:lineRule="auto"/>
      </w:pPr>
      <w:r>
        <w:rPr>
          <w:rFonts w:ascii="Segoe UI" w:hAnsi="Segoe UI"/>
          <w:b/>
          <w:color w:val="2D3748"/>
          <w:sz w:val="21"/>
        </w:rPr>
        <w:t xml:space="preserve">Date of Decision: </w:t>
      </w:r>
      <w:r>
        <w:rPr>
          <w:rFonts w:ascii="Segoe UI" w:hAnsi="Segoe UI"/>
          <w:i w:val="0"/>
          <w:color w:val="2D3748"/>
          <w:sz w:val="21"/>
        </w:rPr>
        <w:t xml:space="preserve"> [YYYY-MM-DD]</w:t>
      </w:r>
    </w:p>
    <w:p>
      <w:pPr>
        <w:spacing w:before="0" w:after="120" w:line="276" w:lineRule="auto"/>
      </w:pPr>
      <w:r>
        <w:rPr>
          <w:rFonts w:ascii="Segoe UI" w:hAnsi="Segoe UI"/>
          <w:b/>
          <w:color w:val="2D3748"/>
          <w:sz w:val="21"/>
        </w:rPr>
        <w:t xml:space="preserve">Author / Owner: </w:t>
      </w:r>
      <w:r>
        <w:rPr>
          <w:rFonts w:ascii="Segoe UI" w:hAnsi="Segoe UI"/>
          <w:i w:val="0"/>
          <w:color w:val="2D3748"/>
          <w:sz w:val="21"/>
        </w:rPr>
        <w:t xml:space="preserve"> [Name of Lead Architect / Security Engineering Lead]</w:t>
      </w:r>
    </w:p>
    <w:p>
      <w:pPr>
        <w:spacing w:before="360" w:after="120" w:line="276" w:lineRule="auto"/>
      </w:pPr>
      <w:r>
        <w:rPr>
          <w:rFonts w:ascii="Segoe UI" w:hAnsi="Segoe UI"/>
          <w:b/>
          <w:color w:val="1A365D"/>
          <w:sz w:val="28"/>
        </w:rPr>
        <w:t>1. Context &amp; Problem Statement</w:t>
      </w:r>
    </w:p>
    <w:p>
      <w:pPr>
        <w:spacing w:before="0" w:after="120" w:line="276" w:lineRule="auto"/>
      </w:pPr>
      <w:r>
        <w:rPr>
          <w:rFonts w:ascii="Segoe UI" w:hAnsi="Segoe UI"/>
          <w:i w:val="0"/>
          <w:color w:val="2D3748"/>
          <w:sz w:val="21"/>
        </w:rPr>
        <w:t>Provide a clear, objective narrative describing the business driver, engineering obstacle, or operational vulnerability that requires structural resolution. Reference specific items from the NIST Risk Register or STRIDE threat models if applicable (e.g., 'To mitigate the risks of unmonitored api key exposures identified in STRIDE-01...').</w:t>
      </w:r>
    </w:p>
    <w:p>
      <w:pPr>
        <w:spacing w:before="360" w:after="120" w:line="276" w:lineRule="auto"/>
      </w:pPr>
      <w:r>
        <w:rPr>
          <w:rFonts w:ascii="Segoe UI" w:hAnsi="Segoe UI"/>
          <w:b/>
          <w:color w:val="1A365D"/>
          <w:sz w:val="28"/>
        </w:rPr>
        <w:t>2. Architectural Decision Boundaries</w:t>
      </w:r>
    </w:p>
    <w:p>
      <w:pPr>
        <w:spacing w:before="0" w:after="120" w:line="276" w:lineRule="auto"/>
      </w:pPr>
      <w:r>
        <w:rPr>
          <w:rFonts w:ascii="Segoe UI" w:hAnsi="Segoe UI"/>
          <w:i w:val="0"/>
          <w:color w:val="2D3748"/>
          <w:sz w:val="21"/>
        </w:rPr>
        <w:t>Detail the exact technical mechanism, configuration rule, or platform integration being adopted. State precisely what is being built, how parameters are configured, and where the policy or control is enforced within the RAG pipeline environment.</w:t>
      </w:r>
    </w:p>
    <w:p>
      <w:pPr>
        <w:spacing w:before="360" w:after="120" w:line="276" w:lineRule="auto"/>
      </w:pPr>
      <w:r>
        <w:rPr>
          <w:rFonts w:ascii="Segoe UI" w:hAnsi="Segoe UI"/>
          <w:b/>
          <w:color w:val="1A365D"/>
          <w:sz w:val="28"/>
        </w:rPr>
        <w:t>3. Strategic Alignment Justification</w:t>
      </w:r>
    </w:p>
    <w:p>
      <w:pPr>
        <w:spacing w:before="0" w:after="120" w:line="276" w:lineRule="auto"/>
      </w:pPr>
      <w:r>
        <w:rPr>
          <w:rFonts w:ascii="Segoe UI" w:hAnsi="Segoe UI"/>
          <w:i w:val="0"/>
          <w:color w:val="2D3748"/>
          <w:sz w:val="21"/>
        </w:rPr>
        <w:t>Explicitly link this architectural choice back to Contoso's Corporate Security Strategy Pillars:</w:t>
      </w:r>
    </w:p>
    <w:p>
      <w:pPr>
        <w:spacing w:before="0" w:after="120" w:line="276" w:lineRule="auto"/>
      </w:pPr>
      <w:r>
        <w:rPr>
          <w:rFonts w:ascii="Segoe UI" w:hAnsi="Segoe UI"/>
          <w:b/>
          <w:color w:val="2D3748"/>
          <w:sz w:val="21"/>
        </w:rPr>
        <w:t xml:space="preserve">• Pillar 1: Confidentiality &amp; Perimeter Security — </w:t>
      </w:r>
      <w:r>
        <w:rPr>
          <w:rFonts w:ascii="Segoe UI" w:hAnsi="Segoe UI"/>
          <w:i w:val="0"/>
          <w:color w:val="2D3748"/>
          <w:sz w:val="21"/>
        </w:rPr>
        <w:t xml:space="preserve"> How this choice preserves data boundary rules and blocks cross-tenant or horizontal leakage paths.</w:t>
      </w:r>
    </w:p>
    <w:p>
      <w:pPr>
        <w:spacing w:before="0" w:after="120" w:line="276" w:lineRule="auto"/>
      </w:pPr>
      <w:r>
        <w:rPr>
          <w:rFonts w:ascii="Segoe UI" w:hAnsi="Segoe UI"/>
          <w:b/>
          <w:color w:val="2D3748"/>
          <w:sz w:val="21"/>
        </w:rPr>
        <w:t xml:space="preserve">• Pillar 2: Data Integrity &amp; Provenance — </w:t>
      </w:r>
      <w:r>
        <w:rPr>
          <w:rFonts w:ascii="Segoe UI" w:hAnsi="Segoe UI"/>
          <w:i w:val="0"/>
          <w:color w:val="2D3748"/>
          <w:sz w:val="21"/>
        </w:rPr>
        <w:t xml:space="preserve"> How this choice validates queries, protects prompt templates, or blocks adversarial manipulation loops.</w:t>
      </w:r>
    </w:p>
    <w:p>
      <w:pPr>
        <w:spacing w:before="0" w:after="120" w:line="276" w:lineRule="auto"/>
      </w:pPr>
      <w:r>
        <w:rPr>
          <w:rFonts w:ascii="Segoe UI" w:hAnsi="Segoe UI"/>
          <w:b/>
          <w:color w:val="2D3748"/>
          <w:sz w:val="21"/>
        </w:rPr>
        <w:t xml:space="preserve">• Pillar 3: Auditability &amp; Logging Non-Repudiation — </w:t>
      </w:r>
      <w:r>
        <w:rPr>
          <w:rFonts w:ascii="Segoe UI" w:hAnsi="Segoe UI"/>
          <w:i w:val="0"/>
          <w:color w:val="2D3748"/>
          <w:sz w:val="21"/>
        </w:rPr>
        <w:t xml:space="preserve"> How this choice guarantees immutable, unalterable user-attributed forensic trails.</w:t>
      </w:r>
    </w:p>
    <w:p>
      <w:pPr>
        <w:spacing w:before="360" w:after="120" w:line="276" w:lineRule="auto"/>
      </w:pPr>
      <w:r>
        <w:rPr>
          <w:rFonts w:ascii="Segoe UI" w:hAnsi="Segoe UI"/>
          <w:b/>
          <w:color w:val="1A365D"/>
          <w:sz w:val="28"/>
        </w:rPr>
        <w:t>4. Alternatives Considered</w:t>
      </w:r>
    </w:p>
    <w:p>
      <w:pPr>
        <w:spacing w:before="0" w:after="120" w:line="276" w:lineRule="auto"/>
      </w:pPr>
      <w:r>
        <w:rPr>
          <w:rFonts w:ascii="Segoe UI" w:hAnsi="Segoe UI"/>
          <w:i w:val="0"/>
          <w:color w:val="2D3748"/>
          <w:sz w:val="21"/>
        </w:rPr>
        <w:t>Outline alternative technical solutions evaluated during the design cycle. Briefly state the technical architecture of each alternative and the specific reason it was rejected (e.g., higher operational overhead, security posture deficiencies, or lack of granular logging controls).</w:t>
      </w:r>
    </w:p>
    <w:p>
      <w:pPr>
        <w:spacing w:before="360" w:after="120" w:line="276" w:lineRule="auto"/>
      </w:pPr>
      <w:r>
        <w:rPr>
          <w:rFonts w:ascii="Segoe UI" w:hAnsi="Segoe UI"/>
          <w:b/>
          <w:color w:val="1A365D"/>
          <w:sz w:val="28"/>
        </w:rPr>
        <w:t>5. Technical Consequences &amp; Trade-offs</w:t>
      </w:r>
    </w:p>
    <w:p>
      <w:pPr>
        <w:spacing w:before="0" w:after="120" w:line="276" w:lineRule="auto"/>
      </w:pPr>
      <w:r>
        <w:rPr>
          <w:rFonts w:ascii="Segoe UI" w:hAnsi="Segoe UI"/>
          <w:i w:val="0"/>
          <w:color w:val="2D3748"/>
          <w:sz w:val="21"/>
        </w:rPr>
        <w:t>Analyze the downstream impacts of this decision. Every technical choice introduces tradeoffs. Explicitly map out:</w:t>
      </w:r>
    </w:p>
    <w:p>
      <w:pPr>
        <w:spacing w:before="0" w:after="120" w:line="276" w:lineRule="auto"/>
      </w:pPr>
      <w:r>
        <w:rPr>
          <w:rFonts w:ascii="Segoe UI" w:hAnsi="Segoe UI"/>
          <w:b/>
          <w:color w:val="2D3748"/>
          <w:sz w:val="21"/>
        </w:rPr>
        <w:t xml:space="preserve">• Positive Impacts (Pros): </w:t>
      </w:r>
      <w:r>
        <w:rPr>
          <w:rFonts w:ascii="Segoe UI" w:hAnsi="Segoe UI"/>
          <w:i w:val="0"/>
          <w:color w:val="2D3748"/>
          <w:sz w:val="21"/>
        </w:rPr>
        <w:t xml:space="preserve"> Operational benefits, security enhancements, and regulatory compliance achievements.</w:t>
      </w:r>
    </w:p>
    <w:p>
      <w:pPr>
        <w:spacing w:before="0" w:after="120" w:line="276" w:lineRule="auto"/>
      </w:pPr>
      <w:r>
        <w:rPr>
          <w:rFonts w:ascii="Segoe UI" w:hAnsi="Segoe UI"/>
          <w:b/>
          <w:color w:val="2D3748"/>
          <w:sz w:val="21"/>
        </w:rPr>
        <w:t xml:space="preserve">• Negative Impacts (Cons): </w:t>
      </w:r>
      <w:r>
        <w:rPr>
          <w:rFonts w:ascii="Segoe UI" w:hAnsi="Segoe UI"/>
          <w:i w:val="0"/>
          <w:color w:val="2D3748"/>
          <w:sz w:val="21"/>
        </w:rPr>
        <w:t xml:space="preserve"> Implementation overhead, performance/latency updates, licensing updates, or functional edge-case constraints.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