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6"/>
          <w:szCs w:val="36"/>
        </w:rPr>
        <w:t xml:space="preserve">Responsible AI Scoring Template</w:t>
      </w:r>
    </w:p>
    <w:p>
      <w:pPr>
        <w:pBdr>
          <w:bottom w:val="single" w:color="1F3A5F" w:sz="12" w:space="8"/>
        </w:pBdr>
        <w:spacing w:after="240"/>
      </w:pPr>
      <w:r>
        <w:rPr>
          <w:rFonts w:ascii="Calibri" w:cs="Calibri" w:eastAsia="Calibri" w:hAnsi="Calibri"/>
          <w:i/>
          <w:iCs/>
          <w:color w:val="5A6572"/>
          <w:sz w:val="22"/>
          <w:szCs w:val="22"/>
        </w:rPr>
        <w:t xml:space="preserve">Governance Review Record</w:t>
      </w:r>
    </w:p>
    <w:p>
      <w:pPr>
        <w:spacing w:after="200" w:before="0" w:line="276"/>
      </w:pPr>
      <w:r>
        <w:rPr>
          <w:rFonts w:ascii="Calibri" w:cs="Calibri" w:eastAsia="Calibri" w:hAnsi="Calibri"/>
          <w:i/>
          <w:iCs/>
          <w:color w:val="5A6572"/>
          <w:sz w:val="21"/>
          <w:szCs w:val="21"/>
        </w:rPr>
        <w:t xml:space="preserve">Use the Use Case Intake Form and the automated bias-scan report as the primary sources of evidence when scoring the tool against Microsoft’s six Responsible AI principles. Fields that are vague, incomplete or missing in the source documentation are noted in the rationales below.</w:t>
      </w:r>
    </w:p>
    <w:tbl>
      <w:tblPr>
        <w:tblW w:type="dxa" w:w="9360"/>
        <w:tblBorders>
          <w:top w:val="single" w:color="C8D0D8" w:sz="2"/>
          <w:left w:val="none"/>
          <w:bottom w:val="single" w:color="C8D0D8" w:sz="2"/>
          <w:right w:val="none"/>
          <w:insideH w:val="single" w:color="C8D0D8" w:sz="2"/>
          <w:insideV w:val="none"/>
        </w:tblBorders>
        <w:tblLayout w:type="fixed"/>
      </w:tblPr>
      <w:tblGrid>
        <w:gridCol w:w="2600"/>
        <w:gridCol w:w="6760"/>
      </w:tblGrid>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Reviewer name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Lead Clinical Data Scientist / AI Ethics Lead</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Review date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17 July 2026</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Tool under review</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Patient Triage Recommendation Model</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Deployment context</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Hospital / Emergency Department — production</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Incident reference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P1-ETH-2026-004</w:t>
            </w:r>
          </w:p>
        </w:tc>
      </w:tr>
    </w:tbl>
    <w:p>
      <w:pPr>
        <w:spacing w:after="240"/>
      </w:pPr>
    </w:p>
    <w:p>
      <w:pPr>
        <w:spacing w:after="120" w:before="280"/>
      </w:pPr>
      <w:r>
        <w:rPr>
          <w:rFonts w:ascii="Calibri" w:cs="Calibri" w:eastAsia="Calibri" w:hAnsi="Calibri"/>
          <w:b/>
          <w:bCs/>
          <w:color w:val="1F3A5F"/>
          <w:sz w:val="24"/>
          <w:szCs w:val="24"/>
        </w:rPr>
        <w:t xml:space="preserve">Part A — Principle-level scoring</w:t>
      </w:r>
    </w:p>
    <w:p>
      <w:pPr>
        <w:spacing w:after="160" w:before="0" w:line="276"/>
      </w:pPr>
      <w:r>
        <w:rPr>
          <w:rFonts w:ascii="Calibri" w:cs="Calibri" w:eastAsia="Calibri" w:hAnsi="Calibri"/>
          <w:i/>
          <w:iCs/>
          <w:color w:val="5A6572"/>
          <w:sz w:val="19"/>
          <w:szCs w:val="19"/>
        </w:rPr>
        <w:t xml:space="preserve">Scoring key:  Pass — principle is adequately addressed.  ·  Concern — potential issue requiring design changes or compensating controls.  ·  Critical Flag — significant risk that may not be addressable through standard mitigation.</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560"/>
        <w:gridCol w:w="2100"/>
        <w:gridCol w:w="1500"/>
        <w:gridCol w:w="5200"/>
      </w:tblGrid>
      <w:tr>
        <w:trPr>
          <w:tblHeader/>
        </w:trPr>
        <w:tc>
          <w:tcPr>
            <w:tcW w:type="dxa" w:w="5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t>
            </w:r>
          </w:p>
        </w:tc>
        <w:tc>
          <w:tcPr>
            <w:tcW w:type="dxa" w:w="21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Principle</w:t>
            </w:r>
          </w:p>
        </w:tc>
        <w:tc>
          <w:tcPr>
            <w:tcW w:type="dxa" w:w="15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Score</w:t>
            </w:r>
          </w:p>
        </w:tc>
        <w:tc>
          <w:tcPr>
            <w:tcW w:type="dxa" w:w="52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Rationale (references a specific detail from the intake form or bias scan)</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Fairness</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Critical Flag</w:t>
            </w:r>
          </w:p>
        </w:tc>
        <w:tc>
          <w:tcPr>
            <w:tcW w:type="dxa" w:w="52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The bias-scan report recorded a Disparate Impact Ratio of 0.68 for patients aged 45–60, below the 0.80 fairness threshold and below the Priority 1 critical floor of 0.70.</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Reliability and Safety</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Systematic triage error risks delaying critical care for older patients, creating a pathway to clinical deterioration in an emergency setting where the model orders the working queue.</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Privacy and Security</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The intake form states a commitment to protecting patient privacy but documents no specific technical safeguards, database access controls or retention limits.</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4</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Inclusiveness</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 False Negative Rate Disparity of 0.13 shows the model does not perform equitably across the adult and elderly patient groups named as its target population.</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5</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Transparency</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Intake documentation contains no explainability provision and does not describe how urgency recommendations are surfaced to Emergency Room staff working at speed.</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6</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Accountability</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Emergency Room staff are identified as stakeholders, but no named system owner, escalation route or human-in-the-loop audit protocol is established.</w:t>
            </w:r>
          </w:p>
        </w:tc>
      </w:tr>
    </w:tbl>
    <w:p>
      <w:pPr>
        <w:spacing w:after="240"/>
      </w:pPr>
    </w:p>
    <w:p>
      <w:pPr>
        <w:spacing w:after="120" w:before="280"/>
      </w:pPr>
      <w:r>
        <w:rPr>
          <w:rFonts w:ascii="Calibri" w:cs="Calibri" w:eastAsia="Calibri" w:hAnsi="Calibri"/>
          <w:b/>
          <w:bCs/>
          <w:color w:val="1F3A5F"/>
          <w:sz w:val="24"/>
          <w:szCs w:val="24"/>
        </w:rPr>
        <w:t xml:space="preserve">Part B — Overall decision</w:t>
      </w:r>
    </w:p>
    <w:p>
      <w:pPr>
        <w:spacing w:after="160" w:before="0" w:line="276"/>
      </w:pPr>
      <w:r>
        <w:rPr>
          <w:rFonts w:ascii="Calibri" w:cs="Calibri" w:eastAsia="Calibri" w:hAnsi="Calibri"/>
          <w:color w:val="1A1A1A"/>
          <w:sz w:val="22"/>
          <w:szCs w:val="22"/>
        </w:rPr>
        <w:t xml:space="preserve">☐ Proceed        </w:t>
      </w:r>
      <w:r>
        <w:rPr>
          <w:rFonts w:ascii="Calibri" w:cs="Calibri" w:eastAsia="Calibri" w:hAnsi="Calibri"/>
          <w:b/>
          <w:bCs/>
          <w:color w:val="A15C00"/>
          <w:sz w:val="22"/>
          <w:szCs w:val="22"/>
        </w:rPr>
        <w:t xml:space="preserve">☒ Mitigate</w:t>
      </w:r>
      <w:r>
        <w:rPr>
          <w:rFonts w:ascii="Calibri" w:cs="Calibri" w:eastAsia="Calibri" w:hAnsi="Calibri"/>
          <w:color w:val="1A1A1A"/>
          <w:sz w:val="22"/>
          <w:szCs w:val="22"/>
        </w:rPr>
        <w:t xml:space="preserve">        ☐ Reject</w:t>
      </w:r>
    </w:p>
    <w:p>
      <w:pPr>
        <w:spacing w:after="220" w:before="0" w:line="276"/>
      </w:pPr>
      <w:r>
        <w:rPr>
          <w:rFonts w:ascii="Calibri" w:cs="Calibri" w:eastAsia="Calibri" w:hAnsi="Calibri"/>
          <w:b/>
          <w:bCs/>
          <w:color w:val="1A1A1A"/>
          <w:sz w:val="21"/>
          <w:szCs w:val="21"/>
        </w:rPr>
        <w:t xml:space="preserve">Summary rationale.  </w:t>
      </w:r>
      <w:r>
        <w:rPr>
          <w:rFonts w:ascii="Calibri" w:cs="Calibri" w:eastAsia="Calibri" w:hAnsi="Calibri"/>
          <w:color w:val="1A1A1A"/>
          <w:sz w:val="21"/>
          <w:szCs w:val="21"/>
        </w:rPr>
        <w:t xml:space="preserve">The tool cannot proceed directly to deployment because of a Critical Flag under Fairness, arising from documented disparate impact and false-negative disparity against the 45–60 age group. Concerns under Reliability and Safety require compensating controls to prevent clinical triage error. Release is conditionally authorised only after the mitigation retraining and audit criteria in Part C are validated.</w:t>
      </w:r>
    </w:p>
    <w:p>
      <w:pPr>
        <w:spacing w:after="120" w:before="280"/>
      </w:pPr>
      <w:r>
        <w:rPr>
          <w:rFonts w:ascii="Calibri" w:cs="Calibri" w:eastAsia="Calibri" w:hAnsi="Calibri"/>
          <w:b/>
          <w:bCs/>
          <w:color w:val="1F3A5F"/>
          <w:sz w:val="24"/>
          <w:szCs w:val="24"/>
        </w:rPr>
        <w:t xml:space="preserve">Part C — Follow-up actions</w:t>
      </w:r>
    </w:p>
    <w:p>
      <w:pPr>
        <w:spacing w:after="140" w:before="0" w:line="276"/>
      </w:pPr>
      <w:r>
        <w:rPr>
          <w:rFonts w:ascii="Calibri" w:cs="Calibri" w:eastAsia="Calibri" w:hAnsi="Calibri"/>
          <w:i/>
          <w:iCs/>
          <w:color w:val="5A6572"/>
          <w:sz w:val="19"/>
          <w:szCs w:val="19"/>
        </w:rPr>
        <w:t xml:space="preserve">Completed because Mitigate is selected.</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560"/>
        <w:gridCol w:w="3900"/>
        <w:gridCol w:w="1500"/>
        <w:gridCol w:w="3400"/>
      </w:tblGrid>
      <w:tr>
        <w:trPr>
          <w:tblHeader/>
        </w:trPr>
        <w:tc>
          <w:tcPr>
            <w:tcW w:type="dxa" w:w="5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t>
            </w:r>
          </w:p>
        </w:tc>
        <w:tc>
          <w:tcPr>
            <w:tcW w:type="dxa" w:w="39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Action required</w:t>
            </w:r>
          </w:p>
        </w:tc>
        <w:tc>
          <w:tcPr>
            <w:tcW w:type="dxa" w:w="15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Stage</w:t>
            </w:r>
          </w:p>
        </w:tc>
        <w:tc>
          <w:tcPr>
            <w:tcW w:type="dxa" w:w="34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Acceptance criterion</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w:t>
            </w:r>
          </w:p>
        </w:tc>
        <w:tc>
          <w:tcPr>
            <w:tcW w:type="dxa" w:w="3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Implement in-processing adversarial de-biasing in the model retraining pipeline.</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Pre-Release</w:t>
            </w:r>
          </w:p>
        </w:tc>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Disparate Impact Ratio rises to ≥ 0.80 across all tested age demographics.</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w:t>
            </w:r>
          </w:p>
        </w:tc>
        <w:tc>
          <w:tcPr>
            <w:tcW w:type="dxa" w:w="3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Configure automated weekly bias audits for Disparate Impact and False Negative Rate metrics.</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Deployment</w:t>
            </w:r>
          </w:p>
        </w:tc>
        <w:tc>
          <w:tcPr>
            <w:tcW w:type="dxa" w:w="3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Weekly automated reports verified as dispatched to clinical leads.</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w:t>
            </w:r>
          </w:p>
        </w:tc>
        <w:tc>
          <w:tcPr>
            <w:tcW w:type="dxa" w:w="3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Revert Emergency Department workflows to manual clinician triage while the model is paused.</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Immediate</w:t>
            </w:r>
          </w:p>
        </w:tc>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100% of triage decisions made by ER staff without AI influence during the pause.</w:t>
            </w:r>
          </w:p>
        </w:tc>
      </w:tr>
    </w:tbl>
    <w:p>
      <w:pPr>
        <w:spacing w:after="320"/>
      </w:pP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4680"/>
        <w:gridCol w:w="4680"/>
      </w:tblGrid>
      <w:tr>
        <w:trPr>
          <w:tblHeader w:val="false"/>
        </w:trPr>
        <w:tc>
          <w:tcPr>
            <w:tcW w:type="dxa" w:w="468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Reviewer signature</w:t>
            </w:r>
          </w:p>
        </w:tc>
        <w:tc>
          <w:tcPr>
            <w:tcW w:type="dxa" w:w="468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Date</w:t>
            </w:r>
          </w:p>
        </w:tc>
      </w:tr>
      <w:tr>
        <w:trPr>
          <w:tblHeader w:val="false"/>
        </w:trPr>
        <w:tc>
          <w:tcPr>
            <w:tcW w:type="dxa" w:w="468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w:r>
          </w:p>
        </w:tc>
        <w:tc>
          <w:tcPr>
            <w:tcW w:type="dxa" w:w="468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Responsible AI Scoring Template — Patient Triage Recommendation Model</dc:title>
  <dc:creator>AI Ethics &amp; Compliance Officer</dc:creator>
  <cp:lastModifiedBy>Un-named</cp:lastModifiedBy>
  <cp:revision>1</cp:revision>
  <dcterms:created xsi:type="dcterms:W3CDTF">2026-08-28T05:57:21.638Z</dcterms:created>
  <dcterms:modified xsi:type="dcterms:W3CDTF">2026-08-28T05:57:21.638Z</dcterms:modified>
</cp:coreProperties>
</file>

<file path=docProps/custom.xml><?xml version="1.0" encoding="utf-8"?>
<Properties xmlns="http://schemas.openxmlformats.org/officeDocument/2006/custom-properties" xmlns:vt="http://schemas.openxmlformats.org/officeDocument/2006/docPropsVTypes"/>
</file>