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434" w:rsidRDefault="006F68A9">
      <w:pPr>
        <w:pStyle w:val="Heading1"/>
        <w:keepNext w:val="0"/>
        <w:keepLines w:val="0"/>
        <w:spacing w:after="80"/>
        <w:rPr>
          <w:b/>
          <w:bCs/>
        </w:rPr>
      </w:pPr>
      <w:r>
        <w:rPr>
          <w:b/>
          <w:bCs/>
        </w:rPr>
        <w:t>ISO</w:t>
      </w:r>
      <w:bookmarkStart w:id="0" w:name="_GoBack"/>
      <w:r>
        <w:rPr>
          <w:b/>
          <w:bCs/>
        </w:rPr>
        <w:t>/</w:t>
      </w:r>
      <w:bookmarkEnd w:id="0"/>
      <w:r>
        <w:rPr>
          <w:b/>
          <w:bCs/>
        </w:rPr>
        <w:t>IEC</w:t>
      </w:r>
      <w:r>
        <w:rPr>
          <w:b/>
          <w:bCs/>
        </w:rPr>
        <w:t xml:space="preserve"> </w:t>
      </w:r>
      <w:r>
        <w:rPr>
          <w:b/>
          <w:bCs/>
        </w:rPr>
        <w:t>42001 Compliance Control Matrix</w:t>
      </w:r>
    </w:p>
    <w:p w:rsidR="00373434" w:rsidRDefault="006F68A9">
      <w:pPr>
        <w:spacing w:before="240" w:after="240"/>
      </w:pPr>
      <w:r>
        <w:t xml:space="preserve">Instructions: Evaluate the </w:t>
      </w:r>
      <w:proofErr w:type="spellStart"/>
      <w:r>
        <w:t>FinanceGuard</w:t>
      </w:r>
      <w:proofErr w:type="spellEnd"/>
      <w:r>
        <w:t xml:space="preserve"> AI deployment against the ISO/IEC 42001 clauses and Annex A control domains. Document the control objective, designate the current implementation status, and define the specific evidence required to prove compliance </w:t>
      </w:r>
      <w:r>
        <w:t>to an external auditor.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0"/>
        <w:gridCol w:w="1597"/>
        <w:gridCol w:w="2248"/>
        <w:gridCol w:w="1971"/>
        <w:gridCol w:w="1999"/>
      </w:tblGrid>
      <w:tr w:rsidR="00373434">
        <w:trPr>
          <w:trHeight w:val="1340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pPr>
              <w:jc w:val="center"/>
            </w:pPr>
            <w:r>
              <w:rPr>
                <w:b/>
                <w:bCs/>
              </w:rPr>
              <w:t>Control Reference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pPr>
              <w:jc w:val="center"/>
            </w:pPr>
            <w:r>
              <w:rPr>
                <w:b/>
                <w:bCs/>
              </w:rPr>
              <w:t>ISO/IEC 42001 Control Name &amp; Domain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pPr>
              <w:jc w:val="center"/>
            </w:pPr>
            <w:r>
              <w:rPr>
                <w:b/>
                <w:bCs/>
              </w:rPr>
              <w:t>Control Objective &amp; System Application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pPr>
              <w:jc w:val="center"/>
            </w:pPr>
            <w:r>
              <w:rPr>
                <w:b/>
                <w:bCs/>
              </w:rPr>
              <w:t>Implementation Status (Implemented/</w:t>
            </w:r>
            <w:r>
              <w:rPr>
                <w:b/>
                <w:bCs/>
              </w:rPr>
              <w:t>Partial/</w:t>
            </w:r>
            <w:r>
              <w:rPr>
                <w:b/>
                <w:bCs/>
              </w:rPr>
              <w:t>Gap)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pPr>
              <w:jc w:val="center"/>
            </w:pPr>
            <w:r>
              <w:rPr>
                <w:b/>
                <w:bCs/>
              </w:rPr>
              <w:t>Audit Evidence/</w:t>
            </w:r>
            <w:r>
              <w:rPr>
                <w:b/>
                <w:bCs/>
              </w:rPr>
              <w:t xml:space="preserve">Validation </w:t>
            </w:r>
            <w:proofErr w:type="spellStart"/>
            <w:r>
              <w:rPr>
                <w:b/>
                <w:bCs/>
              </w:rPr>
              <w:t>Artifact</w:t>
            </w:r>
            <w:proofErr w:type="spellEnd"/>
          </w:p>
        </w:tc>
      </w:tr>
      <w:tr w:rsidR="00373434">
        <w:trPr>
          <w:trHeight w:val="1880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rPr>
                <w:b/>
                <w:bCs/>
              </w:rPr>
              <w:t>Clause 6.1.2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AI Risk Assessment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 xml:space="preserve">Identify, </w:t>
            </w:r>
            <w:proofErr w:type="spellStart"/>
            <w:r>
              <w:t>analyze</w:t>
            </w:r>
            <w:proofErr w:type="spellEnd"/>
            <w:r>
              <w:t>, and evaluate risks specific to the fine-tuned LLM processing confidential PII and financial data.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373434"/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Algorithmic impact assessment (AIA) or AI risk register.</w:t>
            </w:r>
          </w:p>
        </w:tc>
      </w:tr>
      <w:tr w:rsidR="00373434">
        <w:trPr>
          <w:trHeight w:val="2165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rPr>
                <w:b/>
                <w:bCs/>
              </w:rPr>
              <w:t>A.5.2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Data for AI Systems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Ensure data used for fine-tuning and validation is high quality, representative, and collected with appropriate data privacy boundaries.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373434"/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Data lineage documentation and data sanitization logs.</w:t>
            </w:r>
          </w:p>
        </w:tc>
      </w:tr>
      <w:tr w:rsidR="00373434">
        <w:trPr>
          <w:trHeight w:val="1880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rPr>
                <w:b/>
                <w:bCs/>
              </w:rPr>
              <w:t>A.6.2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Logging and Monitoring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 xml:space="preserve">Record system inputs, outputs, and runtime </w:t>
            </w:r>
            <w:proofErr w:type="spellStart"/>
            <w:r>
              <w:t>behaviors</w:t>
            </w:r>
            <w:proofErr w:type="spellEnd"/>
            <w:r>
              <w:t xml:space="preserve"> via the internal API gateway to detect anomalies or data exfiltration.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373434"/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 xml:space="preserve">API gateway logs, prompt/response monitoring dashboard </w:t>
            </w:r>
            <w:proofErr w:type="spellStart"/>
            <w:r>
              <w:t>configs</w:t>
            </w:r>
            <w:proofErr w:type="spellEnd"/>
            <w:r>
              <w:t>.</w:t>
            </w:r>
          </w:p>
        </w:tc>
      </w:tr>
      <w:tr w:rsidR="00373434">
        <w:trPr>
          <w:trHeight w:val="1880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rPr>
                <w:b/>
                <w:bCs/>
              </w:rPr>
              <w:t>A.7.2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AI System Impact Assessment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Assess the potential consequence</w:t>
            </w:r>
            <w:r>
              <w:t>s of the automated document review system on internal stakeholders and regulatory filings.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373434"/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Documented business impact and bias/fairness evaluation reports.</w:t>
            </w:r>
          </w:p>
        </w:tc>
      </w:tr>
      <w:tr w:rsidR="00373434">
        <w:trPr>
          <w:trHeight w:val="2165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rPr>
                <w:b/>
                <w:bCs/>
              </w:rPr>
              <w:lastRenderedPageBreak/>
              <w:t>A.8.3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Security of AI Systems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Protect the fine-tuned LLM infrastructure from adversarial attacks, p</w:t>
            </w:r>
            <w:r>
              <w:t>rompt injection, and unauthorized weights modification.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373434"/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Vulnerability assessment reports and API access control policies.</w:t>
            </w:r>
          </w:p>
        </w:tc>
      </w:tr>
      <w:tr w:rsidR="00373434">
        <w:trPr>
          <w:trHeight w:val="2165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rPr>
                <w:b/>
                <w:bCs/>
              </w:rPr>
              <w:t>A.9.2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AI System Transparency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Provide clear documentation and explanations of the model’s capabilities, limitations, and intended use to internal analysts.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373434"/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Model cards, system user manuals, and training materials.</w:t>
            </w:r>
          </w:p>
        </w:tc>
      </w:tr>
    </w:tbl>
    <w:p w:rsidR="00373434" w:rsidRDefault="006F68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p052i3o0mi3u" w:colFirst="0" w:colLast="0"/>
      <w:bookmarkEnd w:id="1"/>
      <w:r>
        <w:rPr>
          <w:b/>
          <w:bCs/>
          <w:color w:val="000000"/>
          <w:sz w:val="26"/>
          <w:szCs w:val="26"/>
        </w:rPr>
        <w:t>Status Definitions:</w:t>
      </w:r>
    </w:p>
    <w:p w:rsidR="00373434" w:rsidRDefault="006F68A9">
      <w:pPr>
        <w:numPr>
          <w:ilvl w:val="0"/>
          <w:numId w:val="1"/>
        </w:numPr>
        <w:spacing w:before="240"/>
      </w:pPr>
      <w:r>
        <w:rPr>
          <w:b/>
          <w:bCs/>
        </w:rPr>
        <w:t>Implemented:</w:t>
      </w:r>
      <w:r>
        <w:t xml:space="preserve"> The control is fully functional, docu</w:t>
      </w:r>
      <w:r>
        <w:t>mented, and actively producing evidence (for example, active API logging).</w:t>
      </w:r>
    </w:p>
    <w:p w:rsidR="00373434" w:rsidRDefault="006F68A9">
      <w:pPr>
        <w:numPr>
          <w:ilvl w:val="0"/>
          <w:numId w:val="1"/>
        </w:numPr>
      </w:pPr>
      <w:r>
        <w:rPr>
          <w:b/>
          <w:bCs/>
        </w:rPr>
        <w:t>Partial:</w:t>
      </w:r>
      <w:r>
        <w:t xml:space="preserve"> The control is partially designed or active but lacks complete documentation, enforcement, or consistent evidence generation.</w:t>
      </w:r>
    </w:p>
    <w:p w:rsidR="00373434" w:rsidRDefault="006F68A9">
      <w:pPr>
        <w:numPr>
          <w:ilvl w:val="0"/>
          <w:numId w:val="1"/>
        </w:numPr>
        <w:spacing w:after="240"/>
      </w:pPr>
      <w:r>
        <w:rPr>
          <w:b/>
          <w:bCs/>
        </w:rPr>
        <w:t>Gap:</w:t>
      </w:r>
      <w:r>
        <w:t xml:space="preserve"> The control is missing entirely or fundam</w:t>
      </w:r>
      <w:r>
        <w:t>entally insufficient, creating immediate regulatory or operational risk.</w:t>
      </w:r>
    </w:p>
    <w:p w:rsidR="00373434" w:rsidRDefault="00373434"/>
    <w:sectPr w:rsidR="003734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F56201-9E4F-4D9E-B47B-E41D820A37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FDFD2D-FA4A-4785-BA9E-3F60E2032D0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C23062"/>
    <w:multiLevelType w:val="multilevel"/>
    <w:tmpl w:val="93B8A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434"/>
    <w:rsid w:val="00373434"/>
    <w:rsid w:val="006F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0EE161-1BD4-485E-BA0D-080B1153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Radhika Palav</cp:lastModifiedBy>
  <cp:revision>2</cp:revision>
  <dcterms:created xsi:type="dcterms:W3CDTF">2026-07-17T08:12:00Z</dcterms:created>
  <dcterms:modified xsi:type="dcterms:W3CDTF">2026-07-17T08:13:00Z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34e9265b-25a3-4005-9d94-5a8d97692e99</vt:lpwstr>
  </property>
</Properties>
</file>