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BC9" w:rsidRDefault="004E3910">
      <w:pPr>
        <w:pStyle w:val="Heading2"/>
        <w:keepNext w:val="0"/>
        <w:keepLines w:val="0"/>
        <w:spacing w:before="0" w:after="80"/>
        <w:rPr>
          <w:b/>
          <w:bCs/>
          <w:sz w:val="34"/>
          <w:szCs w:val="34"/>
        </w:rPr>
      </w:pPr>
      <w:bookmarkStart w:id="0" w:name="_b37eabalberl" w:colFirst="0" w:colLast="0"/>
      <w:bookmarkEnd w:id="0"/>
      <w:r>
        <w:rPr>
          <w:b/>
          <w:bCs/>
          <w:sz w:val="34"/>
          <w:szCs w:val="34"/>
        </w:rPr>
        <w:t>Section 2—Policy Gap &amp; Compliance Status</w:t>
      </w:r>
    </w:p>
    <w:p w:rsidR="00F86BC9" w:rsidRDefault="00F86BC9">
      <w:pPr>
        <w:pStyle w:val="Heading3"/>
        <w:keepNext w:val="0"/>
        <w:keepLines w:val="0"/>
        <w:spacing w:before="0"/>
        <w:rPr>
          <w:b/>
          <w:bCs/>
          <w:color w:val="000000"/>
          <w:sz w:val="26"/>
          <w:szCs w:val="26"/>
        </w:rPr>
      </w:pPr>
      <w:bookmarkStart w:id="1" w:name="_k3vh464h8t95" w:colFirst="0" w:colLast="0"/>
      <w:bookmarkEnd w:id="1"/>
    </w:p>
    <w:p w:rsidR="00F86BC9" w:rsidRDefault="004E3910">
      <w:pPr>
        <w:pStyle w:val="Heading3"/>
        <w:keepNext w:val="0"/>
        <w:keepLines w:val="0"/>
        <w:spacing w:before="0"/>
        <w:rPr>
          <w:b/>
          <w:bCs/>
          <w:color w:val="000000"/>
          <w:sz w:val="26"/>
          <w:szCs w:val="26"/>
        </w:rPr>
      </w:pPr>
      <w:bookmarkStart w:id="2" w:name="_1ghf2lj9m87t" w:colFirst="0" w:colLast="0"/>
      <w:bookmarkEnd w:id="2"/>
      <w:r>
        <w:rPr>
          <w:b/>
          <w:bCs/>
          <w:color w:val="000000"/>
          <w:sz w:val="26"/>
          <w:szCs w:val="26"/>
        </w:rPr>
        <w:t>1. Responsible AI Policy Gap Analysis</w:t>
      </w:r>
      <w:bookmarkStart w:id="3" w:name="_GoBack"/>
      <w:bookmarkEnd w:id="3"/>
    </w:p>
    <w:p w:rsidR="00F86BC9" w:rsidRDefault="004E3910">
      <w:pPr>
        <w:spacing w:after="240"/>
      </w:pPr>
      <w:r>
        <w:t xml:space="preserve">Instructions: Identify a minimum of three critical policy or control deficiencies by evaluating the FinanceGuard AI system against the Microsoft Responsible AI Standard v2. Assign a severity rating (High, Medium, Low) based on risk impact and compliance relevance.</w:t>
      </w:r>
    </w:p>
    <w:tbl>
      <w:tblPr>
        <w:tblStyle w:val="a"/>
        <w:tblW w:w="91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2250"/>
        <w:gridCol w:w="2126"/>
        <w:gridCol w:w="1984"/>
        <w:gridCol w:w="1758"/>
      </w:tblGrid>
      <w:tr w:rsidR="00F86BC9" w:rsidTr="00331625">
        <w:trPr>
          <w:trHeight w:val="1193"/>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Pr="00331625" w:rsidRDefault="004E3910">
            <w:pPr>
              <w:spacing w:after="480"/>
              <w:rPr>
                <w:sz w:val="20"/>
                <w:szCs w:val="20"/>
              </w:rPr>
            </w:pPr>
            <w:r>
              <w:rPr>
                <w:b/>
                <w:bCs/>
                <w:sz w:val="20"/>
                <w:szCs w:val="20"/>
              </w:rPr>
              <w:t>Gap ID</w:t>
            </w:r>
          </w:p>
        </w:tc>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Pr="00331625" w:rsidRDefault="004E3910" w:rsidP="004E3910">
            <w:pPr>
              <w:spacing w:after="480"/>
              <w:rPr>
                <w:sz w:val="20"/>
                <w:szCs w:val="20"/>
              </w:rPr>
            </w:pPr>
            <w:r>
              <w:rPr>
                <w:b/>
                <w:bCs/>
                <w:sz w:val="20"/>
                <w:szCs w:val="20"/>
              </w:rPr>
              <w:t>Responsible AI Principle/Standard Requirement</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Pr="00331625" w:rsidRDefault="004E3910">
            <w:pPr>
              <w:spacing w:after="480"/>
              <w:rPr>
                <w:sz w:val="20"/>
                <w:szCs w:val="20"/>
              </w:rPr>
            </w:pPr>
            <w:r>
              <w:rPr>
                <w:b/>
                <w:bCs/>
                <w:sz w:val="20"/>
                <w:szCs w:val="20"/>
              </w:rPr>
              <w:t xml:space="preserve">Identified Deficiency (FinanceGuard AI Context)</w:t>
            </w:r>
          </w:p>
        </w:tc>
        <w:tc>
          <w:tcPr>
            <w:tcW w:w="1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Pr="00331625" w:rsidRDefault="004E3910" w:rsidP="004E3910">
            <w:pPr>
              <w:spacing w:after="480"/>
              <w:rPr>
                <w:sz w:val="20"/>
                <w:szCs w:val="20"/>
              </w:rPr>
            </w:pPr>
            <w:r>
              <w:rPr>
                <w:b/>
                <w:bCs/>
                <w:sz w:val="20"/>
                <w:szCs w:val="20"/>
              </w:rPr>
              <w:t xml:space="preserve">Severity Rating (High/Med/Low)</w:t>
            </w:r>
          </w:p>
        </w:tc>
        <w:tc>
          <w:tcPr>
            <w:tcW w:w="175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Pr="00331625" w:rsidRDefault="004E3910">
            <w:pPr>
              <w:spacing w:after="480"/>
              <w:rPr>
                <w:sz w:val="20"/>
                <w:szCs w:val="20"/>
              </w:rPr>
            </w:pPr>
            <w:r>
              <w:rPr>
                <w:b/>
                <w:bCs/>
                <w:sz w:val="20"/>
                <w:szCs w:val="20"/>
              </w:rPr>
              <w:t>Remediation Action Plan</w:t>
            </w:r>
          </w:p>
        </w:tc>
      </w:tr>
      <w:tr w:rsidR="00F86BC9" w:rsidTr="0033162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GAP-01</w:t>
            </w:r>
          </w:p>
        </w:tc>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pPr>
            <w:r>
              <w:rPr>
                <w:b/>
                <w:bCs/>
                <w:sz w:val="17"/>
                <w:szCs w:val="17"/>
              </w:rPr>
              <w:t xml:space="preserve">Accountability</w:t>
            </w:r>
          </w:p>
          <w:p>
            <w:pPr>
              <w:spacing w:after="60" w:line="240" w:lineRule="auto"/>
            </w:pPr>
            <w:r>
              <w:rPr>
                <w:sz w:val="17"/>
                <w:szCs w:val="17"/>
              </w:rPr>
              <w:t xml:space="preserve">Goal A1 — Impact assessment</w:t>
            </w:r>
          </w:p>
          <w:p>
            <w:pPr>
              <w:spacing w:after="60" w:line="240" w:lineRule="auto"/>
            </w:pPr>
            <w:r>
              <w:rPr>
                <w:sz w:val="17"/>
                <w:szCs w:val="17"/>
              </w:rPr>
              <w:t xml:space="preserve">Goal A2 — Oversight of significant adverse impacts</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100" w:line="240" w:lineRule="auto"/>
            </w:pPr>
            <w:r>
              <w:rPr>
                <w:b/>
                <w:bCs/>
                <w:sz w:val="17"/>
                <w:szCs w:val="17"/>
              </w:rPr>
              <w:t xml:space="preserve">Current state: </w:t>
            </w:r>
            <w:r>
              <w:rPr>
                <w:sz w:val="17"/>
                <w:szCs w:val="17"/>
              </w:rPr>
              <w:t xml:space="preserve">FinanceGuard AI was fine-tuned and promoted to production without a completed Responsible AI Impact Assessment. No approved document identifies stakeholders, intended uses, or foreseeable adverse impacts of automated review on contract approvals and regulatory filings. The third-party cloud provider hosting inference holds no assigned accountability in the governance matrix, leaving oversight of sub-processor controls without a named owner.</w:t>
            </w:r>
          </w:p>
          <w:p>
            <w:pPr>
              <w:spacing w:after="100" w:line="240" w:lineRule="auto"/>
            </w:pPr>
            <w:r>
              <w:rPr>
                <w:b/>
                <w:bCs/>
                <w:sz w:val="17"/>
                <w:szCs w:val="17"/>
              </w:rPr>
              <w:t xml:space="preserve">Desired state: </w:t>
            </w:r>
            <w:r>
              <w:rPr>
                <w:sz w:val="17"/>
                <w:szCs w:val="17"/>
              </w:rPr>
              <w:t xml:space="preserve">An approved RAI Impact Assessment on file before each material fine-tune, and sub-processor control obligations mapped to a named internal accountable owner, reviewed at every contract renewal.</w:t>
            </w:r>
          </w:p>
        </w:tc>
        <w:tc>
          <w:tcPr>
            <w:tcW w:w="1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jc w:val="center"/>
            </w:pPr>
            <w:r>
              <w:rPr>
                <w:b/>
                <w:bCs/>
                <w:sz w:val="17"/>
                <w:szCs w:val="17"/>
              </w:rPr>
              <w:t xml:space="preserve">High</w:t>
            </w:r>
          </w:p>
        </w:tc>
        <w:tc>
          <w:tcPr>
            <w:tcW w:w="175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pPr>
            <w:r>
              <w:rPr>
                <w:sz w:val="17"/>
                <w:szCs w:val="17"/>
              </w:rPr>
              <w:t xml:space="preserve">Complete the RAI Impact Assessment for the production model within 30 days; Model Owner responsible, Executive Steering Committee accountable for approval. Legal to extract control obligations from the cloud provider agreement into a sub-processor control register with a named internal owner per obligation. Make a current impact assessment a mandatory gate condition for any subsequent fine-tune.</w:t>
            </w:r>
          </w:p>
        </w:tc>
      </w:tr>
      <w:tr w:rsidR="00F86BC9" w:rsidTr="0033162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GAP-02</w:t>
            </w:r>
          </w:p>
        </w:tc>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pPr>
            <w:r>
              <w:rPr>
                <w:b/>
                <w:bCs/>
                <w:sz w:val="17"/>
                <w:szCs w:val="17"/>
              </w:rPr>
              <w:t xml:space="preserve">Privacy &amp; Security</w:t>
            </w:r>
          </w:p>
          <w:p>
            <w:pPr>
              <w:spacing w:after="60" w:line="240" w:lineRule="auto"/>
            </w:pPr>
            <w:r>
              <w:rPr>
                <w:sz w:val="17"/>
                <w:szCs w:val="17"/>
              </w:rPr>
              <w:t xml:space="preserve">Goal PS1 — Privacy Standard compliance</w:t>
            </w:r>
          </w:p>
          <w:p>
            <w:pPr>
              <w:spacing w:after="60" w:line="240" w:lineRule="auto"/>
            </w:pPr>
            <w:r>
              <w:rPr>
                <w:sz w:val="17"/>
                <w:szCs w:val="17"/>
              </w:rPr>
              <w:t xml:space="preserve">Accountability Goal A4 — Data governance and management</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100" w:line="240" w:lineRule="auto"/>
            </w:pPr>
            <w:r>
              <w:rPr>
                <w:b/>
                <w:bCs/>
                <w:sz w:val="17"/>
                <w:szCs w:val="17"/>
              </w:rPr>
              <w:t xml:space="preserve">Current state: </w:t>
            </w:r>
            <w:r>
              <w:rPr>
                <w:sz w:val="17"/>
                <w:szCs w:val="17"/>
              </w:rPr>
              <w:t xml:space="preserve">The fine-tuning corpus was assembled from legal and compliance archives containing PII and confidential financial data without documented lineage, minimization, or sanitization records. Prompt and response payloads traverse the internal API gateway to third-party inference endpoints, and no evidence demonstrates that session data and provider-side inference logs are purged in line with the corporate retention schedule.</w:t>
            </w:r>
          </w:p>
          <w:p>
            <w:pPr>
              <w:spacing w:after="100" w:line="240" w:lineRule="auto"/>
            </w:pPr>
            <w:r>
              <w:rPr>
                <w:b/>
                <w:bCs/>
                <w:sz w:val="17"/>
                <w:szCs w:val="17"/>
              </w:rPr>
              <w:t xml:space="preserve">Desired state: </w:t>
            </w:r>
            <w:r>
              <w:rPr>
                <w:sz w:val="17"/>
                <w:szCs w:val="17"/>
              </w:rPr>
              <w:t xml:space="preserve">Full documented lineage for every training and validation set, recorded sanitization and minimization decisions, and demonstrable evidence-backed purge of prompts, responses, and inference logs on the retention schedule.</w:t>
            </w:r>
          </w:p>
        </w:tc>
        <w:tc>
          <w:tcPr>
            <w:tcW w:w="1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jc w:val="center"/>
            </w:pPr>
            <w:r>
              <w:rPr>
                <w:b/>
                <w:bCs/>
                <w:sz w:val="17"/>
                <w:szCs w:val="17"/>
              </w:rPr>
              <w:t xml:space="preserve">High</w:t>
            </w:r>
          </w:p>
        </w:tc>
        <w:tc>
          <w:tcPr>
            <w:tcW w:w="175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pPr>
            <w:r>
              <w:rPr>
                <w:sz w:val="17"/>
                <w:szCs w:val="17"/>
              </w:rPr>
              <w:t xml:space="preserve">Reconstruct lineage for the current training corpus and record sanitization decisions within 45 days; Model Owner responsible, Cyber Security &amp; Legal accountable. Enable retention tagging and automated purge on gateway and provider-side logs, then evidence one complete purge cycle before the audit window. Where the provider cannot evidence deletion, apply payload tokenization at the gateway so PII never crosses the internal boundary.</w:t>
            </w:r>
          </w:p>
        </w:tc>
      </w:tr>
      <w:tr w:rsidR="00F86BC9" w:rsidTr="0033162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GAP-03</w:t>
            </w:r>
          </w:p>
        </w:tc>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pPr>
            <w:r>
              <w:rPr>
                <w:b/>
                <w:bCs/>
                <w:sz w:val="17"/>
                <w:szCs w:val="17"/>
              </w:rPr>
              <w:t xml:space="preserve">Transparency</w:t>
            </w:r>
          </w:p>
          <w:p>
            <w:pPr>
              <w:spacing w:after="60" w:line="240" w:lineRule="auto"/>
            </w:pPr>
            <w:r>
              <w:rPr>
                <w:sz w:val="17"/>
                <w:szCs w:val="17"/>
              </w:rPr>
              <w:t xml:space="preserve">Goal T1 — System intelligibility for decision making</w:t>
            </w:r>
          </w:p>
          <w:p>
            <w:pPr>
              <w:spacing w:after="60" w:line="240" w:lineRule="auto"/>
            </w:pPr>
            <w:r>
              <w:rPr>
                <w:sz w:val="17"/>
                <w:szCs w:val="17"/>
              </w:rPr>
              <w:t xml:space="preserve">Accountability Goal A5 — Human oversight and control</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100" w:line="240" w:lineRule="auto"/>
            </w:pPr>
            <w:r>
              <w:rPr>
                <w:b/>
                <w:bCs/>
                <w:sz w:val="17"/>
                <w:szCs w:val="17"/>
              </w:rPr>
              <w:t xml:space="preserve">Current state: </w:t>
            </w:r>
            <w:r>
              <w:rPr>
                <w:sz w:val="17"/>
                <w:szCs w:val="17"/>
              </w:rPr>
              <w:t xml:space="preserve">No model card or documented statement of capabilities, limitations, and out-of-scope uses exists for the fine-tuned model. Compliance analysts and legal reviewers do exercise judgment over outputs, but no attestation is captured, so the organization cannot evidence that a named human reviewed a specific output before it informed a contract approval or regulatory submission.</w:t>
            </w:r>
          </w:p>
          <w:p>
            <w:pPr>
              <w:spacing w:after="100" w:line="240" w:lineRule="auto"/>
            </w:pPr>
            <w:r>
              <w:rPr>
                <w:b/>
                <w:bCs/>
                <w:sz w:val="17"/>
                <w:szCs w:val="17"/>
              </w:rPr>
              <w:t xml:space="preserve">Desired state: </w:t>
            </w:r>
            <w:r>
              <w:rPr>
                <w:sz w:val="17"/>
                <w:szCs w:val="17"/>
              </w:rPr>
              <w:t xml:space="preserve">A published model card covering intended use, limitations, and known failure modes, and a recorded human review attestation bound to every output used in a contractual or regulatory decision.</w:t>
            </w:r>
          </w:p>
        </w:tc>
        <w:tc>
          <w:tcPr>
            <w:tcW w:w="1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jc w:val="center"/>
            </w:pPr>
            <w:r>
              <w:rPr>
                <w:b/>
                <w:bCs/>
                <w:sz w:val="17"/>
                <w:szCs w:val="17"/>
              </w:rPr>
              <w:t xml:space="preserve">Medium</w:t>
            </w:r>
          </w:p>
        </w:tc>
        <w:tc>
          <w:tcPr>
            <w:tcW w:w="175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pPr>
            <w:r>
              <w:rPr>
                <w:sz w:val="17"/>
                <w:szCs w:val="17"/>
              </w:rPr>
              <w:t xml:space="preserve">Publish a model card and analyst-facing limitations guidance within 60 days; AI Program Lead responsible. Add a mandatory reviewer attestation field so approval cannot proceed without a named reviewer and timestamp. Rated Medium rather than High because human oversight exists in practice — the deficiency is evidentiary, not an absence of control.</w:t>
            </w:r>
          </w:p>
        </w:tc>
      </w:tr>
      <w:tr w:rsidR="00F86BC9" w:rsidTr="0033162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pPr>
            <w:r>
              <w:rPr>
                <w:b/>
                <w:bCs/>
                <w:sz w:val="17"/>
                <w:szCs w:val="17"/>
              </w:rPr>
              <w:t xml:space="preserve">GAP-04</w:t>
            </w:r>
          </w:p>
        </w:tc>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pPr>
            <w:r>
              <w:rPr>
                <w:b/>
                <w:bCs/>
                <w:sz w:val="17"/>
                <w:szCs w:val="17"/>
              </w:rPr>
              <w:t xml:space="preserve">Reliability &amp; Safety</w:t>
            </w:r>
          </w:p>
          <w:p>
            <w:pPr>
              <w:spacing w:after="60" w:line="240" w:lineRule="auto"/>
            </w:pPr>
            <w:r>
              <w:rPr>
                <w:sz w:val="17"/>
                <w:szCs w:val="17"/>
              </w:rPr>
              <w:t xml:space="preserve">Goal RS3 — Ongoing monitoring, feedback, and evaluation</w:t>
            </w:r>
          </w:p>
          <w:p>
            <w:pPr>
              <w:spacing w:after="60" w:line="240" w:lineRule="auto"/>
            </w:pPr>
            <w:r>
              <w:rPr>
                <w:sz w:val="17"/>
                <w:szCs w:val="17"/>
              </w:rPr>
              <w:t xml:space="preserve">Goal RS2 — Failures and remediations</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100" w:line="240" w:lineRule="auto"/>
            </w:pPr>
            <w:r>
              <w:rPr>
                <w:b/>
                <w:bCs/>
                <w:sz w:val="17"/>
                <w:szCs w:val="17"/>
              </w:rPr>
              <w:t xml:space="preserve">Current state: </w:t>
            </w:r>
            <w:r>
              <w:rPr>
                <w:sz w:val="17"/>
                <w:szCs w:val="17"/>
              </w:rPr>
              <w:t xml:space="preserve">The internal API gateway records access and transaction metadata, but prompt and response content is not monitored for drift, degradation, or adversarial manipulation, and no adversarial or prompt-injection testing is scheduled after deployment. No failure taxonomy or remediation path exists for incorrect output that has already reached a filing.</w:t>
            </w:r>
          </w:p>
          <w:p>
            <w:pPr>
              <w:spacing w:after="100" w:line="240" w:lineRule="auto"/>
            </w:pPr>
            <w:r>
              <w:rPr>
                <w:b/>
                <w:bCs/>
                <w:sz w:val="17"/>
                <w:szCs w:val="17"/>
              </w:rPr>
              <w:t xml:space="preserve">Desired state: </w:t>
            </w:r>
            <w:r>
              <w:rPr>
                <w:sz w:val="17"/>
                <w:szCs w:val="17"/>
              </w:rPr>
              <w:t xml:space="preserve">Continuous content-level monitoring with drift and anomaly thresholds, a scheduled adversarial test regime, and a documented failure and remediation procedure covering recall of affected filings.</w:t>
            </w:r>
          </w:p>
        </w:tc>
        <w:tc>
          <w:tcPr>
            <w:tcW w:w="1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jc w:val="center"/>
            </w:pPr>
            <w:r>
              <w:rPr>
                <w:b/>
                <w:bCs/>
                <w:sz w:val="17"/>
                <w:szCs w:val="17"/>
              </w:rPr>
              <w:t xml:space="preserve">Medium</w:t>
            </w:r>
          </w:p>
        </w:tc>
        <w:tc>
          <w:tcPr>
            <w:tcW w:w="175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pPr>
              <w:spacing w:after="60" w:line="240" w:lineRule="auto"/>
            </w:pPr>
            <w:r>
              <w:rPr>
                <w:sz w:val="17"/>
                <w:szCs w:val="17"/>
              </w:rPr>
              <w:t xml:space="preserve">Deploy prompt and response monitoring with drift alerting to the AI Program Lead within 60 days. Commission quarterly adversarial and prompt-injection testing; Cyber Security responsible. Define a model failure taxonomy and output recall procedure, and rehearse it once before the audit window.</w:t>
            </w:r>
          </w:p>
        </w:tc>
      </w:tr>
    </w:tbl>
    <w:p w:rsidR="00F86BC9" w:rsidRDefault="00F86BC9">
      <w:pPr>
        <w:pStyle w:val="Heading3"/>
        <w:keepNext w:val="0"/>
        <w:keepLines w:val="0"/>
        <w:spacing w:before="0"/>
        <w:rPr>
          <w:b/>
          <w:bCs/>
          <w:color w:val="000000"/>
          <w:sz w:val="26"/>
          <w:szCs w:val="26"/>
        </w:rPr>
      </w:pPr>
      <w:bookmarkStart w:id="4" w:name="_dbg8bz3u0n4r" w:colFirst="0" w:colLast="0"/>
      <w:bookmarkEnd w:id="4"/>
    </w:p>
    <w:p w:rsidR="00F86BC9" w:rsidRDefault="004E3910">
      <w:pPr>
        <w:pStyle w:val="Heading3"/>
        <w:keepNext w:val="0"/>
        <w:keepLines w:val="0"/>
        <w:spacing w:before="0"/>
        <w:rPr>
          <w:b/>
          <w:bCs/>
          <w:color w:val="000000"/>
          <w:sz w:val="26"/>
          <w:szCs w:val="26"/>
        </w:rPr>
      </w:pPr>
      <w:bookmarkStart w:id="5" w:name="_lbef85h87lsu" w:colFirst="0" w:colLast="0"/>
      <w:bookmarkEnd w:id="5"/>
      <w:r>
        <w:rPr>
          <w:b/>
          <w:bCs/>
          <w:color w:val="000000"/>
          <w:sz w:val="26"/>
          <w:szCs w:val="26"/>
        </w:rPr>
        <w:t>2. ISO/IEC 42001 Compliance Control Matrix Excerpt</w:t>
      </w:r>
    </w:p>
    <w:p w:rsidR="00F86BC9" w:rsidRDefault="004E3910">
      <w:pPr>
        <w:spacing w:after="240"/>
      </w:pPr>
      <w:r>
        <w:t>Instructions: Complete this compliance baseline with a minimum of five relevant AI management system controls. Ensure the implementation status directly aligns with the gaps identified above without any logical contradictions.</w:t>
      </w:r>
    </w:p>
    <w:tbl>
      <w:tblPr>
        <w:tblStyle w:val="a0"/>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1680"/>
        <w:gridCol w:w="1620"/>
        <w:gridCol w:w="2490"/>
        <w:gridCol w:w="1695"/>
      </w:tblGrid>
      <w:tr w:rsidR="00F86BC9">
        <w:trPr>
          <w:trHeight w:val="1650"/>
        </w:trPr>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Control ID</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ISO/IEC 42001 Standard Control Title</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Control Intent &amp; Objective</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Implementation Status (Implemented/Partial/Gap)</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Evidence/Validation Method</w:t>
            </w:r>
          </w:p>
        </w:tc>
      </w:tr>
      <w:tr w:rsidR="00F86BC9">
        <w:trPr>
          <w:trHeight w:val="540"/>
        </w:trPr>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A.5.x</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r>
      <w:tr w:rsidR="00F86BC9">
        <w:trPr>
          <w:trHeight w:val="540"/>
        </w:trPr>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lastRenderedPageBreak/>
              <w:t>A.6.x</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r>
      <w:tr w:rsidR="00F86BC9">
        <w:trPr>
          <w:trHeight w:val="540"/>
        </w:trPr>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A.7.x</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r>
      <w:tr w:rsidR="00F86BC9">
        <w:trPr>
          <w:trHeight w:val="540"/>
        </w:trPr>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A.8.x</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r>
      <w:tr w:rsidR="00F86BC9">
        <w:trPr>
          <w:trHeight w:val="540"/>
        </w:trPr>
        <w:tc>
          <w:tcPr>
            <w:tcW w:w="12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4E3910">
            <w:pPr>
              <w:spacing w:after="480"/>
            </w:pPr>
            <w:r>
              <w:rPr>
                <w:b/>
                <w:bCs/>
              </w:rPr>
              <w:t>A.9.x</w:t>
            </w:r>
          </w:p>
        </w:tc>
        <w:tc>
          <w:tcPr>
            <w:tcW w:w="1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F86BC9" w:rsidRDefault="00F86BC9">
            <w:pPr>
              <w:spacing w:after="480"/>
            </w:pPr>
          </w:p>
        </w:tc>
      </w:tr>
    </w:tbl>
    <w:p w:rsidR="00F86BC9" w:rsidRDefault="00F86BC9"/>
    <w:sectPr w:rsidR="00F86BC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4059CF-90BA-4474-A758-093493B193BA}"/>
  </w:font>
  <w:font w:name="Cambria">
    <w:panose1 w:val="02040503050406030204"/>
    <w:charset w:val="00"/>
    <w:family w:val="roman"/>
    <w:pitch w:val="variable"/>
    <w:sig w:usb0="E00006FF" w:usb1="420024FF" w:usb2="02000000" w:usb3="00000000" w:csb0="0000019F" w:csb1="00000000"/>
    <w:embedRegular r:id="rId2" w:fontKey="{6139E7FE-6D0F-4944-86F1-B884CF4DCB8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BC9"/>
    <w:rsid w:val="001C55C6"/>
    <w:rsid w:val="00331625"/>
    <w:rsid w:val="004E0DAD"/>
    <w:rsid w:val="004E3910"/>
    <w:rsid w:val="00D17F90"/>
    <w:rsid w:val="00F86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414E4"/>
  <w15:docId w15:val="{1051F4FA-FED2-4EB3-BD8D-4359694F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Radhika Palav</cp:lastModifiedBy>
  <cp:revision>3</cp:revision>
  <dcterms:created xsi:type="dcterms:W3CDTF">2026-07-17T11:42:00Z</dcterms:created>
  <dcterms:modified xsi:type="dcterms:W3CDTF">2026-07-17T11:42:00Z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8c05f9f4-adf3-4eec-966b-442eb1379191</vt:lpwstr>
  </property>
</Properties>
</file>