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434" w:rsidRDefault="006F68A9">
      <w:pPr>
        <w:pStyle w:val="Heading1"/>
        <w:keepNext w:val="0"/>
        <w:keepLines w:val="0"/>
        <w:spacing w:after="80"/>
        <w:rPr>
          <w:b/>
          <w:bCs/>
        </w:rPr>
      </w:pPr>
      <w:r>
        <w:rPr>
          <w:b/>
          <w:bCs/>
        </w:rPr>
        <w:t>ISO</w:t>
      </w:r>
      <w:bookmarkStart w:id="0" w:name="_GoBack"/>
      <w:r>
        <w:rPr>
          <w:b/>
          <w:bCs/>
        </w:rPr>
        <w:t>/</w:t>
      </w:r>
      <w:bookmarkEnd w:id="0"/>
      <w:r>
        <w:rPr>
          <w:b/>
          <w:bCs/>
        </w:rPr>
        <w:t xml:space="preserve">IEC 42001 Compliance Control Matrix</w:t>
      </w:r>
    </w:p>
    <w:p w:rsidR="00373434" w:rsidRDefault="006F68A9">
      <w:pPr>
        <w:spacing w:before="240" w:after="240"/>
      </w:pPr>
      <w:r>
        <w:t xml:space="preserve">Instructions: Evaluate the FinanceGuard AI deployment against the ISO/IEC 42001 clauses and Annex A control domains. Document the control objective, designate the current implementation status, and define the specific evidence required to prove compliance to an external auditor.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10"/>
        <w:gridCol w:w="1597"/>
        <w:gridCol w:w="2248"/>
        <w:gridCol w:w="1971"/>
        <w:gridCol w:w="1999"/>
      </w:tblGrid>
      <w:tr w:rsidR="00373434">
        <w:trPr>
          <w:trHeight w:val="1340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pPr>
              <w:jc w:val="center"/>
            </w:pPr>
            <w:r>
              <w:rPr>
                <w:b/>
                <w:bCs/>
              </w:rPr>
              <w:t>Control Reference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pPr>
              <w:jc w:val="center"/>
            </w:pPr>
            <w:r>
              <w:rPr>
                <w:b/>
                <w:bCs/>
              </w:rPr>
              <w:t>ISO/IEC 42001 Control Name &amp; Domain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pPr>
              <w:jc w:val="center"/>
            </w:pPr>
            <w:r>
              <w:rPr>
                <w:b/>
                <w:bCs/>
              </w:rPr>
              <w:t>Control Objective &amp; System Application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pPr>
              <w:jc w:val="center"/>
            </w:pPr>
            <w:r>
              <w:rPr>
                <w:b/>
                <w:bCs/>
              </w:rPr>
              <w:t>Implementation Status (Implemented/Partial/Gap)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pPr>
              <w:jc w:val="center"/>
            </w:pPr>
            <w:r>
              <w:rPr>
                <w:b/>
                <w:bCs/>
              </w:rPr>
              <w:t xml:space="preserve">Audit Evidence/Validation Artifact</w:t>
            </w:r>
          </w:p>
        </w:tc>
      </w:tr>
      <w:tr w:rsidR="00373434">
        <w:trPr>
          <w:trHeight w:val="1880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t>Clause 6.1.2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AI Risk Assessment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 xml:space="preserve">Identify, analyze, and evaluate risks specific to the fine-tuned LLM processing confidential PII and financial data.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Algorithmic impact assessment (AIA) or AI risk register.</w:t>
            </w:r>
          </w:p>
        </w:tc>
      </w:tr>
      <w:tr w:rsidR="00373434">
        <w:trPr>
          <w:trHeight w:val="2165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t>A.5.2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Data for AI Systems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Ensure data used for fine-tuning and validation is high quality, representative, and collected with appropriate data privacy boundaries.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Partial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Data lineage documentation and data sanitization logs.</w:t>
            </w:r>
          </w:p>
        </w:tc>
      </w:tr>
      <w:tr w:rsidR="00373434">
        <w:trPr>
          <w:trHeight w:val="1880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t>A.6.2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Logging and Monitoring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 xml:space="preserve">Record system inputs, outputs, and runtime behaviors via the internal API gateway to detect anomalies or data exfiltration.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Partial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 xml:space="preserve">API gateway logs, prompt/response monitoring dashboard configs.</w:t>
            </w:r>
          </w:p>
        </w:tc>
      </w:tr>
      <w:tr w:rsidR="00373434">
        <w:trPr>
          <w:trHeight w:val="1880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t>A.7.2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AI System Impact Assessment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Assess the potential consequences of the automated document review system on internal stakeholders and regulatory filings.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Gap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Documented business impact and bias/fairness evaluation reports.</w:t>
            </w:r>
          </w:p>
        </w:tc>
      </w:tr>
      <w:tr w:rsidR="00373434">
        <w:trPr>
          <w:trHeight w:val="2165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lastRenderedPageBreak/>
              <w:t>A.8.3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Security of AI Systems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Protect the fine-tuned LLM infrastructure from adversarial attacks, prompt injection, and unauthorized weights modification.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Partial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Vulnerability assessment reports and API access control policies.</w:t>
            </w:r>
          </w:p>
        </w:tc>
      </w:tr>
      <w:tr w:rsidR="00373434">
        <w:trPr>
          <w:trHeight w:val="2165"/>
        </w:trPr>
        <w:tc>
          <w:tcPr>
            <w:tcW w:w="1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rPr>
                <w:b/>
                <w:bCs/>
              </w:rPr>
              <w:t>A.9.2</w:t>
            </w:r>
          </w:p>
        </w:tc>
        <w:tc>
          <w:tcPr>
            <w:tcW w:w="1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AI System Transparency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Provide clear documentation and explanations of the model’s capabilities, limitations, and intended use to internal analysts.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Partial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73434" w:rsidRDefault="006F68A9">
            <w:r>
              <w:t>Model cards, system user manuals, and training materials.</w:t>
            </w:r>
          </w:p>
        </w:tc>
      </w:tr>
    </w:tbl>
    <w:p w:rsidR="00373434" w:rsidRDefault="006F68A9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p052i3o0mi3u" w:colFirst="0" w:colLast="0"/>
      <w:bookmarkEnd w:id="1"/>
      <w:r>
        <w:rPr>
          <w:b/>
          <w:bCs/>
          <w:color w:val="000000"/>
          <w:sz w:val="26"/>
          <w:szCs w:val="26"/>
        </w:rPr>
        <w:t>Status Definitions:</w:t>
      </w:r>
    </w:p>
    <w:p w:rsidR="00373434" w:rsidRDefault="006F68A9">
      <w:pPr>
        <w:numPr>
          <w:ilvl w:val="0"/>
          <w:numId w:val="1"/>
        </w:numPr>
        <w:spacing w:before="240"/>
      </w:pPr>
      <w:r>
        <w:rPr>
          <w:b/>
          <w:bCs/>
        </w:rPr>
        <w:t>Implemented:</w:t>
      </w:r>
      <w:r>
        <w:t xml:space="preserve"> The control is fully functional, documented, and actively producing evidence (for example, active API logging).</w:t>
      </w:r>
    </w:p>
    <w:p w:rsidR="00373434" w:rsidRDefault="006F68A9">
      <w:pPr>
        <w:numPr>
          <w:ilvl w:val="0"/>
          <w:numId w:val="1"/>
        </w:numPr>
      </w:pPr>
      <w:r>
        <w:rPr>
          <w:b/>
          <w:bCs/>
        </w:rPr>
        <w:t>Partial:</w:t>
      </w:r>
      <w:r>
        <w:t xml:space="preserve"> The control is partially designed or active but lacks complete documentation, enforcement, or consistent evidence generation.</w:t>
      </w:r>
    </w:p>
    <w:p w:rsidR="00373434" w:rsidRDefault="006F68A9">
      <w:pPr>
        <w:numPr>
          <w:ilvl w:val="0"/>
          <w:numId w:val="1"/>
        </w:numPr>
        <w:spacing w:after="240"/>
      </w:pPr>
      <w:r>
        <w:rPr>
          <w:b/>
          <w:bCs/>
        </w:rPr>
        <w:t>Gap:</w:t>
      </w:r>
      <w:r>
        <w:t xml:space="preserve"> The control is missing entirely or fundamentally insufficient, creating immediate regulatory or operational risk.</w:t>
      </w:r>
    </w:p>
    <w:p w:rsidR="00373434" w:rsidRDefault="00373434"/>
    <w:sectPr w:rsidR="0037343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F56201-9E4F-4D9E-B47B-E41D820A37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3FDFD2D-FA4A-4785-BA9E-3F60E2032D0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C23062"/>
    <w:multiLevelType w:val="multilevel"/>
    <w:tmpl w:val="93B8A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434"/>
    <w:rsid w:val="00373434"/>
    <w:rsid w:val="006F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A0EE161-1BD4-485E-BA0D-080B11536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1876</Characters>
  <Application>Microsoft Office Word</Application>
  <DocSecurity>0</DocSecurity>
  <Lines>15</Lines>
  <Paragraphs>4</Paragraphs>
  <ScaleCrop>false</ScaleCrop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Radhika Palav</cp:lastModifiedBy>
  <cp:revision>2</cp:revision>
  <dcterms:created xsi:type="dcterms:W3CDTF">2026-07-17T08:12:00Z</dcterms:created>
  <dcterms:modified xsi:type="dcterms:W3CDTF">2026-07-17T08:13:00Z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34e9265b-25a3-4005-9d94-5a8d97692e99</vt:lpwstr>
  </property>
</Properties>
</file>