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FD1" w:rsidRDefault="002573F3">
      <w:pPr>
        <w:pStyle w:val="Heading2"/>
        <w:keepNext w:val="0"/>
        <w:keepLines w:val="0"/>
        <w:spacing w:after="80"/>
        <w:rPr>
          <w:b/>
          <w:bCs/>
          <w:sz w:val="34"/>
          <w:szCs w:val="34"/>
        </w:rPr>
      </w:pPr>
      <w:bookmarkStart w:id="0" w:name="_th5d2ku3qzm" w:colFirst="0" w:colLast="0"/>
      <w:bookmarkStart w:id="1" w:name="_GoBack"/>
      <w:bookmarkEnd w:id="0"/>
      <w:bookmarkEnd w:id="1"/>
      <w:r>
        <w:rPr>
          <w:b/>
          <w:bCs/>
          <w:sz w:val="34"/>
          <w:szCs w:val="34"/>
        </w:rPr>
        <w:t>Section 3—Audit Readiness Assessment</w:t>
      </w:r>
    </w:p>
    <w:p w:rsidR="000B4FD1" w:rsidRDefault="002573F3">
      <w:pPr>
        <w:pStyle w:val="Heading3"/>
        <w:keepNext w:val="0"/>
        <w:keepLines w:val="0"/>
        <w:spacing w:before="280"/>
        <w:rPr>
          <w:b/>
          <w:bCs/>
          <w:color w:val="000000"/>
          <w:sz w:val="26"/>
          <w:szCs w:val="26"/>
        </w:rPr>
      </w:pPr>
      <w:bookmarkStart w:id="2" w:name="_kloku05ku558" w:colFirst="0" w:colLast="0"/>
      <w:bookmarkEnd w:id="2"/>
      <w:r>
        <w:rPr>
          <w:b/>
          <w:bCs/>
          <w:color w:val="000000"/>
          <w:sz w:val="26"/>
          <w:szCs w:val="26"/>
        </w:rPr>
        <w:t>1. SOC 2 Evidence Review Summary</w:t>
      </w:r>
    </w:p>
    <w:p w:rsidR="000B4FD1" w:rsidRDefault="002573F3">
      <w:pPr>
        <w:spacing w:before="240" w:after="240"/>
      </w:pPr>
      <w:r>
        <w:t xml:space="preserve">Instructions: Evaluate the FinanceGuard AI system against the AICPA Trust Services Criteria—focusing specifically on Security and Confidentiality. Review a minimum of three controls, assessing the quality of the provided audit artifacts and assigning a status designation of Pass, Partial, or Fail.</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8"/>
        <w:gridCol w:w="1985"/>
        <w:gridCol w:w="3024"/>
        <w:gridCol w:w="1348"/>
        <w:gridCol w:w="1680"/>
      </w:tblGrid>
      <w:tr w:rsidR="000B4FD1">
        <w:trPr>
          <w:trHeight w:val="1340"/>
        </w:trPr>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pPr>
              <w:jc w:val="center"/>
            </w:pPr>
            <w:r>
              <w:rPr>
                <w:b/>
                <w:bCs/>
              </w:rPr>
              <w:t>Control ID</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pPr>
              <w:jc w:val="center"/>
            </w:pPr>
            <w:r>
              <w:rPr>
                <w:b/>
                <w:bCs/>
              </w:rPr>
              <w:t>Trust Services Criteria (TSC)</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pPr>
              <w:jc w:val="center"/>
            </w:pPr>
            <w:r>
              <w:rPr>
                <w:b/>
                <w:bCs/>
              </w:rPr>
              <w:t xml:space="preserve">Control Description (FinanceGuard AI Context)</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E3554" w:rsidRDefault="002573F3">
            <w:pPr>
              <w:jc w:val="center"/>
              <w:rPr>
                <w:b/>
                <w:bCs/>
              </w:rPr>
            </w:pPr>
            <w:r>
              <w:rPr>
                <w:b/>
                <w:bCs/>
              </w:rPr>
              <w:t xml:space="preserve">Provided Audit Artifact/</w:t>
            </w:r>
          </w:p>
          <w:p w:rsidR="000B4FD1" w:rsidRDefault="002573F3">
            <w:pPr>
              <w:jc w:val="center"/>
            </w:pPr>
            <w:r>
              <w:rPr>
                <w:b/>
                <w:bCs/>
              </w:rPr>
              <w:t>Evidence</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pPr>
              <w:jc w:val="center"/>
            </w:pPr>
            <w:r>
              <w:rPr>
                <w:b/>
                <w:bCs/>
              </w:rPr>
              <w:t>Evidence Evaluation &amp; Status (Pass/Partial/Fail)</w:t>
            </w:r>
          </w:p>
        </w:tc>
      </w:tr>
      <w:tr w:rsidR="000B4FD1">
        <w:trPr/>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CC6.1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Security:</w:t>
            </w:r>
            <w:r>
              <w:t xml:space="preserve"> Access Transmission</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t>The internal API gateway restricts model access to authorized compliance and legal user groups, encrypting PII/financial data in transit.</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API gateway role-based access control (RBAC) policy restricting model access to compliance and legal user groups; TLS 1.2+ configuration for data in transit; current access control list export.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Partial</w:t>
            </w:r>
          </w:p>
          <w:p>
            <w:pPr>
              <w:spacing w:after="80" w:line="240" w:lineRule="auto"/>
            </w:pPr>
            <w:r>
              <w:rPr>
                <w:sz w:val="17"/>
                <w:szCs w:val="17"/>
              </w:rPr>
              <w:t xml:space="preserve">Access restriction and transport encryption are configured and documented. However, access events are captured only as metadata — content-level monitoring is not deployed (ISO A.6.2 — Partial, GAP-04) and the access path has not been adversarially tested (ISO A.8.3 — Partial, GAP-04). Operating effectiveness over a sustained review period cannot yet be demonstrated to an external auditor.</w:t>
            </w:r>
          </w:p>
        </w:tc>
      </w:tr>
      <w:tr w:rsidR="000B4FD1">
        <w:trPr/>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CC6.3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Security:</w:t>
            </w:r>
            <w:r>
              <w:t xml:space="preserve"> Perimeter Defense</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t>Hybrid cloud infrastructure endpoints hosting the fine-tuned LLM are hardened against unauthorized access and prompt injection.</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Infrastructure hardening baseline for the hybrid cloud hosting environment; most recent annual network-layer penetration test report.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Partial</w:t>
            </w:r>
          </w:p>
          <w:p>
            <w:pPr>
              <w:spacing w:after="80" w:line="240" w:lineRule="auto"/>
            </w:pPr>
            <w:r>
              <w:rPr>
                <w:sz w:val="17"/>
                <w:szCs w:val="17"/>
              </w:rPr>
              <w:t xml:space="preserve">Perimeter hardening and network-layer penetration testing are current and satisfactory. No prompt-injection or adversarial testing specific to the fine-tuned model has been performed (ISO A.8.3 — Partial, GAP-04), leaving the model-specific portion of this criterion unevidenced.</w:t>
            </w:r>
          </w:p>
        </w:tc>
      </w:tr>
      <w:tr w:rsidR="000B4FD1">
        <w:trPr/>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CC7.1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rPr>
                <w:b/>
                <w:bCs/>
              </w:rPr>
              <w:t>Confidentiality:</w:t>
            </w:r>
            <w:r>
              <w:t xml:space="preserve"> Data Retention &amp; Disposal</w:t>
            </w:r>
          </w:p>
        </w:tc>
        <w:tc>
          <w:tcPr>
            <w:tcW w:w="30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B4FD1" w:rsidRDefault="002573F3">
            <w:r>
              <w:t xml:space="preserve">Confidential financial documents and temporary session data processed by the LLM are purged or encrypted according to corporate retention schedules.</w:t>
            </w:r>
          </w:p>
        </w:tc>
        <w:tc>
          <w:tcPr>
            <w:tcW w:w="13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sz w:val="17"/>
                <w:szCs w:val="17"/>
              </w:rPr>
              <w:t xml:space="preserve">Corporate data retention and disposal schedule (policy document). No artifact was available evidencing purge of gateway session data or deletion of provider-side inference logs.</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pPr>
              <w:spacing w:after="80" w:line="240" w:lineRule="auto"/>
            </w:pPr>
            <w:r>
              <w:rPr>
                <w:b/>
                <w:bCs/>
                <w:sz w:val="17"/>
                <w:szCs w:val="17"/>
              </w:rPr>
              <w:t xml:space="preserve">Fail</w:t>
            </w:r>
          </w:p>
          <w:p>
            <w:pPr>
              <w:spacing w:after="80" w:line="240" w:lineRule="auto"/>
            </w:pPr>
            <w:r>
              <w:rPr>
                <w:sz w:val="17"/>
                <w:szCs w:val="17"/>
              </w:rPr>
              <w:t xml:space="preserve">The retention schedule exists as policy, but no evidence demonstrates that session data or third-party inference logs are actually purged in line with it (ISO A.5.2/A.6.2 — Partial, GAP-02 — High severity). For this specific criterion, evidence of deletion is entirely absent rather than incomplete, which is a Fail regardless of the broader controls' Partial rating.</w:t>
            </w:r>
          </w:p>
        </w:tc>
      </w:tr>
    </w:tbl>
    <w:p w:rsidR="000B4FD1" w:rsidRDefault="002573F3">
      <w:pPr>
        <w:pStyle w:val="Heading3"/>
        <w:keepNext w:val="0"/>
        <w:keepLines w:val="0"/>
        <w:spacing w:before="280"/>
        <w:rPr>
          <w:b/>
          <w:bCs/>
          <w:color w:val="000000"/>
          <w:sz w:val="26"/>
          <w:szCs w:val="26"/>
        </w:rPr>
      </w:pPr>
      <w:bookmarkStart w:id="3" w:name="_oyhfvgm6xk9d" w:colFirst="0" w:colLast="0"/>
      <w:bookmarkEnd w:id="3"/>
      <w:r>
        <w:rPr>
          <w:b/>
          <w:bCs/>
          <w:color w:val="000000"/>
          <w:sz w:val="26"/>
          <w:szCs w:val="26"/>
        </w:rPr>
        <w:lastRenderedPageBreak/>
        <w:t>2. CISO Executive Recommendation</w:t>
      </w:r>
    </w:p>
    <w:p w:rsidR="000B4FD1" w:rsidRDefault="002573F3">
      <w:pPr>
        <w:spacing w:before="240" w:after="240"/>
      </w:pPr>
      <w:r>
        <w:t xml:space="preserve">Instructions: Draft a formal </w:t>
      </w:r>
      <w:r>
        <w:rPr>
          <w:b/>
          <w:bCs/>
        </w:rPr>
        <w:t>200–250 word</w:t>
      </w:r>
      <w:r>
        <w:t xml:space="preserve"> strategic briefing addressed to the Chief Information Security Officer (CISO). This must provide an explicit "Go" or "No-Go" decision regarding the upcoming external audit window. Do not merely list control statuses—synthesize your findings, evaluate residual risk regarding PII exposure, and prioritize remediation milestones.</w:t>
      </w:r>
    </w:p>
    <w:p w:rsidR="000B4FD1" w:rsidRDefault="002573F3">
      <w:pPr>
        <w:spacing w:before="240" w:after="240"/>
      </w:pPr>
      <w:r>
        <w:rPr>
          <w:b/>
          <w:bCs/>
        </w:rPr>
        <w:t>To:</w:t>
      </w:r>
      <w:r>
        <w:t xml:space="preserve"> Chief Information Security Officer (CISO)</w:t>
      </w:r>
    </w:p>
    <w:p w:rsidR="000B4FD1" w:rsidRDefault="002573F3">
      <w:pPr>
        <w:spacing w:before="240" w:after="240"/>
      </w:pPr>
      <w:r>
        <w:rPr>
          <w:b/>
          <w:bCs/>
        </w:rPr>
        <w:t>From:</w:t>
      </w:r>
      <w:r>
        <w:t xml:space="preserve"> AI Governance Program Lead</w:t>
      </w:r>
    </w:p>
    <w:p w:rsidR="000B4FD1" w:rsidRDefault="002573F3">
      <w:pPr>
        <w:spacing w:before="240" w:after="240"/>
      </w:pPr>
      <w:r>
        <w:rPr>
          <w:b/>
          <w:bCs/>
        </w:rPr>
        <w:t>Date:</w:t>
      </w:r>
      <w:r>
        <w:t xml:space="preserve"> July 8, 2026</w:t>
      </w:r>
    </w:p>
    <w:p w:rsidR="000B4FD1" w:rsidRDefault="002573F3">
      <w:pPr>
        <w:spacing w:before="240" w:after="240"/>
      </w:pPr>
      <w:r>
        <w:rPr>
          <w:b/>
          <w:bCs/>
        </w:rPr>
        <w:t>Subject:</w:t>
      </w:r>
      <w:r>
        <w:t xml:space="preserve"> SOC 2 Audit Readiness Assessment &amp; Recommendations for FinanceGuard AI</w:t>
      </w:r>
    </w:p>
    <w:p>
      <w:pPr>
        <w:spacing w:before="240" w:after="240"/>
      </w:pPr>
      <w:r>
        <w:rPr>
          <w:b/>
          <w:bCs/>
        </w:rPr>
        <w:t xml:space="preserve">Recommendation: No-Go.</w:t>
      </w:r>
      <w:r>
        <w:rPr/>
        <w:t xml:space="preserve"> I recommend deferring the external audit by one quarter.</w:t>
      </w:r>
    </w:p>
    <w:p>
      <w:pPr>
        <w:spacing w:before="240" w:after="240"/>
      </w:pPr>
      <w:r>
        <w:rPr/>
        <w:t xml:space="preserve">This assessment did not find a system with scattered weaknesses. It found one whose controls were built for infrastructure and never extended to the model itself. We can evidence who reached the gateway and how the channel was encrypted. We cannot evidence what the model received, what it returned, or whether that content was ever destroyed.</w:t>
      </w:r>
    </w:p>
    <w:p>
      <w:pPr>
        <w:spacing w:before="240" w:after="240"/>
      </w:pPr>
      <w:r>
        <w:rPr/>
        <w:t xml:space="preserve">That single distinction is our exposure. Confidential financial documents and PII cross the internal boundary for third-party inference, and we hold no deletion attestation from the provider. We therefore cannot state, under examination, how long client PII persists outside our control or who has held it. Entering fieldwork in this position converts an internal finding into a qualified opinion on Confidentiality — and because these outputs inform regulatory submissions, it invites a supervisory question we cannot presently answer.</w:t>
      </w:r>
    </w:p>
    <w:p>
      <w:pPr>
        <w:spacing w:before="240" w:after="240"/>
      </w:pPr>
      <w:r>
        <w:rPr/>
        <w:t xml:space="preserve">Residual risk is concentrated rather than diffuse, which is what makes deferral credible instead of evasive. Three milestones close it, in priority order:</w:t>
      </w:r>
    </w:p>
    <w:p>
      <w:pPr>
        <w:spacing w:before="240" w:after="240"/>
      </w:pPr>
      <w:r>
        <w:rPr/>
        <w:t xml:space="preserve">1. Obtain provider deletion attestation and evidence one complete purge cycle — 45 days. This alone resolves the Confidentiality failure.</w:t>
      </w:r>
    </w:p>
    <w:p>
      <w:pPr>
        <w:spacing w:before="240" w:after="240"/>
      </w:pPr>
      <w:r>
        <w:rPr/>
        <w:t xml:space="preserve">2. Complete the AI impact assessment and stand up the risk register — 30 days, and the cheapest of the three.</w:t>
      </w:r>
    </w:p>
    <w:p>
      <w:pPr>
        <w:spacing w:before="240" w:after="240"/>
      </w:pPr>
      <w:r>
        <w:rPr/>
        <w:t xml:space="preserve">3. Commission adversarial testing and deploy content-level monitoring — 60 days.</w:t>
      </w:r>
    </w:p>
    <w:p>
      <w:pPr>
        <w:spacing w:before="240" w:after="240"/>
      </w:pPr>
      <w:r>
        <w:rPr/>
        <w:t xml:space="preserve">Ninety days makes this system auditable. Ninety days of fieldwork now does not.</w:t>
      </w:r>
    </w:p>
    <w:p w:rsidR="000B4FD1" w:rsidRDefault="000B4FD1"/>
    <w:sectPr w:rsidR="000B4F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D126073-FD5A-4F4E-9E44-EB16D6E4F28F}"/>
  </w:font>
  <w:font w:name="Cambria">
    <w:panose1 w:val="02040503050406030204"/>
    <w:charset w:val="00"/>
    <w:family w:val="roman"/>
    <w:pitch w:val="variable"/>
    <w:sig w:usb0="E00006FF" w:usb1="420024FF" w:usb2="02000000" w:usb3="00000000" w:csb0="0000019F" w:csb1="00000000"/>
    <w:embedRegular r:id="rId2" w:fontKey="{08C3AAC8-8015-4C28-A932-CE49BD6117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FD1"/>
    <w:rsid w:val="0000031B"/>
    <w:rsid w:val="000B4FD1"/>
    <w:rsid w:val="002573F3"/>
    <w:rsid w:val="004E3554"/>
    <w:rsid w:val="008B249F"/>
    <w:rsid w:val="00985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69FF"/>
  <w15:docId w15:val="{EDC53C4F-041A-46B0-B74A-55A6478B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Radhika Palav</cp:lastModifiedBy>
  <cp:revision>9</cp:revision>
  <dcterms:created xsi:type="dcterms:W3CDTF">2026-07-17T08:27:00Z</dcterms:created>
  <dcterms:modified xsi:type="dcterms:W3CDTF">2026-07-17T08:28:00Z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aa652a91-c9ab-4a89-b558-7ea3a765641b</vt:lpwstr>
  </property>
</Properties>
</file>