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Heading2"/>
        <w:keepNext w:val="0"/>
        <w:keepLines w:val="0"/>
        <w:spacing w:after="80"/>
      </w:pPr>
      <w:r>
        <w:rPr>
          <w:b/>
          <w:bCs/>
          <w:sz w:val="34"/>
          <w:szCs w:val="34"/>
        </w:rPr>
        <w:t xml:space="preserve">Section 4—Policy Statements &amp; Exception Record</w:t>
      </w:r>
    </w:p>
    <w:p>
      <w:pPr>
        <w:spacing w:after="0"/>
      </w:pPr>
      <w:r>
        <w:rPr/>
        <w:t xml:space="preserve"/>
      </w:r>
    </w:p>
    <w:p>
      <w:pPr>
        <w:pStyle w:val="Heading3"/>
        <w:keepNext w:val="0"/>
        <w:keepLines w:val="0"/>
        <w:spacing w:before="280"/>
      </w:pPr>
      <w:r>
        <w:rPr>
          <w:b/>
          <w:bCs/>
          <w:sz w:val="26"/>
          <w:szCs w:val="26"/>
        </w:rPr>
        <w:t xml:space="preserve">1. AI Model Security &amp; Monitoring Policy Statements</w:t>
      </w:r>
    </w:p>
    <w:p>
      <w:pPr>
        <w:spacing w:before="240" w:after="240"/>
      </w:pPr>
      <w:r>
        <w:rPr>
          <w:b/>
          <w:bCs/>
        </w:rPr>
        <w:t xml:space="preserve">Instructions: </w:t>
      </w:r>
      <w:r>
        <w:rPr/>
        <w:t xml:space="preserve">Draft a minimum of three enforceable policy statements governing the security and monitoring of FinanceGuard AI. Each statement must cite the ISO/IEC 42001 clause or Annex A control it enforces and must resolve a specific risk or gap identified in Sections 1 to 3. Control references follow the numbering used in the standalone Section 2 ISO/IEC 42001 Compliance Control Matrix, which carries all six controls including Clause 6.1.2.</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50"/>
        <w:gridCol w:w="2900"/>
        <w:gridCol w:w="1700"/>
        <w:gridCol w:w="1200"/>
        <w:gridCol w:w="2273"/>
      </w:tblGrid>
      <w:tr w:rsidR="000B4FD1">
        <w:trPr/>
        <w:tc>
          <w:tcPr>
            <w:tcW w:w="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40" w:line="240" w:lineRule="auto"/>
              <w:jc w:val="center"/>
            </w:pPr>
            <w:r>
              <w:rPr>
                <w:b/>
                <w:bCs/>
                <w:sz w:val="18"/>
                <w:szCs w:val="18"/>
              </w:rPr>
              <w:t xml:space="preserve">Policy ID</w:t>
            </w:r>
          </w:p>
        </w:tc>
        <w:tc>
          <w:tcPr>
            <w:tcW w:w="2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40" w:line="240" w:lineRule="auto"/>
              <w:jc w:val="center"/>
            </w:pPr>
            <w:r>
              <w:rPr>
                <w:b/>
                <w:bCs/>
                <w:sz w:val="18"/>
                <w:szCs w:val="18"/>
              </w:rPr>
              <w:t xml:space="preserve">Policy Statement</w:t>
            </w:r>
          </w:p>
        </w:tc>
        <w:tc>
          <w:tcPr>
            <w:tcW w:w="1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40" w:line="240" w:lineRule="auto"/>
              <w:jc w:val="center"/>
            </w:pPr>
            <w:r>
              <w:rPr>
                <w:b/>
                <w:bCs/>
                <w:sz w:val="18"/>
                <w:szCs w:val="18"/>
              </w:rPr>
              <w:t xml:space="preserve">ISO/IEC 42001 Clause or Control Enforced</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40" w:line="240" w:lineRule="auto"/>
              <w:jc w:val="center"/>
            </w:pPr>
            <w:r>
              <w:rPr>
                <w:b/>
                <w:bCs/>
                <w:sz w:val="18"/>
                <w:szCs w:val="18"/>
              </w:rPr>
              <w:t xml:space="preserve">Risk/Gap Addressed</w:t>
            </w:r>
          </w:p>
        </w:tc>
        <w:tc>
          <w:tcPr>
            <w:tcW w:w="22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40" w:line="240" w:lineRule="auto"/>
              <w:jc w:val="center"/>
            </w:pPr>
            <w:r>
              <w:rPr>
                <w:b/>
                <w:bCs/>
                <w:sz w:val="18"/>
                <w:szCs w:val="18"/>
              </w:rPr>
              <w:t xml:space="preserve">Enforcement &amp; Monitoring Mechanism</w:t>
            </w:r>
          </w:p>
        </w:tc>
      </w:tr>
      <w:tr w:rsidR="000B4FD1">
        <w:trPr/>
        <w:tc>
          <w:tcPr>
            <w:tcW w:w="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80" w:line="240" w:lineRule="auto"/>
              <w:jc w:val="center"/>
            </w:pPr>
            <w:r>
              <w:rPr>
                <w:b/>
                <w:bCs/>
                <w:sz w:val="17"/>
                <w:szCs w:val="17"/>
              </w:rPr>
              <w:t xml:space="preserve">POL-01</w:t>
            </w:r>
          </w:p>
        </w:tc>
        <w:tc>
          <w:tcPr>
            <w:tcW w:w="2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80" w:line="240" w:lineRule="auto"/>
            </w:pPr>
            <w:r>
              <w:rPr>
                <w:b/>
                <w:bCs/>
                <w:sz w:val="17"/>
                <w:szCs w:val="17"/>
              </w:rPr>
              <w:t xml:space="preserve">Impact Assessment &amp; Risk Register Gate</w:t>
            </w:r>
          </w:p>
          <w:p>
            <w:pPr>
              <w:spacing w:after="80" w:line="240" w:lineRule="auto"/>
            </w:pPr>
            <w:r>
              <w:rPr>
                <w:sz w:val="17"/>
                <w:szCs w:val="17"/>
              </w:rPr>
              <w:t xml:space="preserve">No fine-tuned model shall be promoted to, or retained in, production use in support of contract approval or regulatory filing without a current approved AI impact assessment and a corresponding entry in the AI risk register. Both artifacts shall be re-performed on any material fine-tune, change of training corpus, or change of hosting arrangement, and reviewed no less than quarterly.</w:t>
            </w:r>
          </w:p>
        </w:tc>
        <w:tc>
          <w:tcPr>
            <w:tcW w:w="1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80" w:line="240" w:lineRule="auto"/>
            </w:pPr>
            <w:r>
              <w:rPr>
                <w:sz w:val="17"/>
                <w:szCs w:val="17"/>
              </w:rPr>
              <w:t xml:space="preserve">Clause 6.1.2 — AI Risk Assessment; A.7.2 — AI System Impact Assessment</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80" w:line="240" w:lineRule="auto"/>
            </w:pPr>
            <w:r>
              <w:rPr>
                <w:sz w:val="17"/>
                <w:szCs w:val="17"/>
              </w:rPr>
              <w:t xml:space="preserve">GAP-01 (High). Both controls tagged Gap in the Section 2 control matrix.</w:t>
            </w:r>
          </w:p>
        </w:tc>
        <w:tc>
          <w:tcPr>
            <w:tcW w:w="22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80" w:line="240" w:lineRule="auto"/>
            </w:pPr>
            <w:r>
              <w:rPr>
                <w:sz w:val="17"/>
                <w:szCs w:val="17"/>
              </w:rPr>
              <w:t xml:space="preserve">Release gate operated by the AI Program Lead; Executive Steering Committee approval recorded before release. Transitional provision: systems already in production at adoption shall achieve compliance within 30 days, per the Section 3 remediation schedule; thereafter absence of either artifact suspends production use. Verified at quarterly governance review.</w:t>
            </w:r>
          </w:p>
        </w:tc>
      </w:tr>
      <w:tr w:rsidR="000B4FD1">
        <w:trPr/>
        <w:tc>
          <w:tcPr>
            <w:tcW w:w="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80" w:line="240" w:lineRule="auto"/>
              <w:jc w:val="center"/>
            </w:pPr>
            <w:r>
              <w:rPr>
                <w:b/>
                <w:bCs/>
                <w:sz w:val="17"/>
                <w:szCs w:val="17"/>
              </w:rPr>
              <w:t xml:space="preserve">POL-02</w:t>
            </w:r>
          </w:p>
        </w:tc>
        <w:tc>
          <w:tcPr>
            <w:tcW w:w="2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80" w:line="240" w:lineRule="auto"/>
            </w:pPr>
            <w:r>
              <w:rPr>
                <w:b/>
                <w:bCs/>
                <w:sz w:val="17"/>
                <w:szCs w:val="17"/>
              </w:rPr>
              <w:t xml:space="preserve">Sub-Processor Accountability</w:t>
            </w:r>
          </w:p>
          <w:p>
            <w:pPr>
              <w:spacing w:after="80" w:line="240" w:lineRule="auto"/>
            </w:pPr>
            <w:r>
              <w:rPr>
                <w:sz w:val="17"/>
                <w:szCs w:val="17"/>
              </w:rPr>
              <w:t xml:space="preserve">Every control obligation arising from the third-party cloud hosting arrangement shall be recorded in a sub-processor control register and assigned to a named internal accountable owner. No inference workload shall be placed with, or retained on, a provider whose control obligations are unassigned or unverified.</w:t>
            </w:r>
          </w:p>
        </w:tc>
        <w:tc>
          <w:tcPr>
            <w:tcW w:w="1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80" w:line="240" w:lineRule="auto"/>
            </w:pPr>
            <w:r>
              <w:rPr>
                <w:sz w:val="17"/>
                <w:szCs w:val="17"/>
              </w:rPr>
              <w:t xml:space="preserve">Clause 6.1.2 — AI Risk Assessment (hosting arrangement risk); published ISO/IEC 42001 A.10 — Third-Party &amp; Customer Relationships, not represented in the Section 2 matrix</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80" w:line="240" w:lineRule="auto"/>
            </w:pPr>
            <w:r>
              <w:rPr>
                <w:sz w:val="17"/>
                <w:szCs w:val="17"/>
              </w:rPr>
              <w:t xml:space="preserve">GAP-01 (High); accountability gap raised in the Section 1 executive sign-off memo.</w:t>
            </w:r>
          </w:p>
        </w:tc>
        <w:tc>
          <w:tcPr>
            <w:tcW w:w="22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80" w:line="240" w:lineRule="auto"/>
            </w:pPr>
            <w:r>
              <w:rPr>
                <w:sz w:val="17"/>
                <w:szCs w:val="17"/>
              </w:rPr>
              <w:t xml:space="preserve">Legal maintains the register; Executive Steering Committee accountable. Register reviewed at every contract renewal and before any new provider is engaged.</w:t>
            </w:r>
          </w:p>
        </w:tc>
      </w:tr>
      <w:tr w:rsidR="000B4FD1">
        <w:trPr/>
        <w:tc>
          <w:tcPr>
            <w:tcW w:w="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80" w:line="240" w:lineRule="auto"/>
              <w:jc w:val="center"/>
            </w:pPr>
            <w:r>
              <w:rPr>
                <w:b/>
                <w:bCs/>
                <w:sz w:val="17"/>
                <w:szCs w:val="17"/>
              </w:rPr>
              <w:t xml:space="preserve">POL-03</w:t>
            </w:r>
          </w:p>
        </w:tc>
        <w:tc>
          <w:tcPr>
            <w:tcW w:w="2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80" w:line="240" w:lineRule="auto"/>
            </w:pPr>
            <w:r>
              <w:rPr>
                <w:b/>
                <w:bCs/>
                <w:sz w:val="17"/>
                <w:szCs w:val="17"/>
              </w:rPr>
              <w:t xml:space="preserve">Data Boundary, Lineage &amp; Disposal</w:t>
            </w:r>
          </w:p>
          <w:p>
            <w:pPr>
              <w:spacing w:after="80" w:line="240" w:lineRule="auto"/>
            </w:pPr>
            <w:r>
              <w:rPr>
                <w:sz w:val="17"/>
                <w:szCs w:val="17"/>
              </w:rPr>
              <w:t xml:space="preserve">PII and confidential financial data shall not traverse the internal API gateway to third-party inference endpoints in the hybrid cloud environment unless tokenized or otherwise de-identified, or covered by a current provider deletion attestation. All training and validation datasets shall carry documented lineage and sanitization records, and all prompts, responses, and inference logs shall be purged in accordance with the corporate retention schedule with deletion evidence retained.</w:t>
            </w:r>
          </w:p>
        </w:tc>
        <w:tc>
          <w:tcPr>
            <w:tcW w:w="1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80" w:line="240" w:lineRule="auto"/>
            </w:pPr>
            <w:r>
              <w:rPr>
                <w:sz w:val="17"/>
                <w:szCs w:val="17"/>
              </w:rPr>
              <w:t xml:space="preserve">A.5.2 — Data for AI Systems; A.6.2 — Logging and Monitoring</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80" w:line="240" w:lineRule="auto"/>
            </w:pPr>
            <w:r>
              <w:rPr>
                <w:sz w:val="17"/>
                <w:szCs w:val="17"/>
              </w:rPr>
              <w:t xml:space="preserve">GAP-02 (High); SOC 2 CC7.1 rated Fail in Section 3.</w:t>
            </w:r>
          </w:p>
        </w:tc>
        <w:tc>
          <w:tcPr>
            <w:tcW w:w="22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80" w:line="240" w:lineRule="auto"/>
            </w:pPr>
            <w:r>
              <w:rPr>
                <w:sz w:val="17"/>
                <w:szCs w:val="17"/>
              </w:rPr>
              <w:t xml:space="preserve">Cyber Security &amp; Legal accountable. Gateway data-loss-prevention policy to be configured to block untokenized payloads within 45 days, per the GAP-02 remediation plan; it is not yet in force. Purge evidence sampled quarterly thereafter; provider attestation reviewed annually.</w:t>
            </w:r>
          </w:p>
        </w:tc>
      </w:tr>
      <w:tr w:rsidR="000B4FD1">
        <w:trPr/>
        <w:tc>
          <w:tcPr>
            <w:tcW w:w="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80" w:line="240" w:lineRule="auto"/>
              <w:jc w:val="center"/>
            </w:pPr>
            <w:r>
              <w:rPr>
                <w:b/>
                <w:bCs/>
                <w:sz w:val="17"/>
                <w:szCs w:val="17"/>
              </w:rPr>
              <w:t xml:space="preserve">POL-04</w:t>
            </w:r>
          </w:p>
        </w:tc>
        <w:tc>
          <w:tcPr>
            <w:tcW w:w="2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80" w:line="240" w:lineRule="auto"/>
            </w:pPr>
            <w:r>
              <w:rPr>
                <w:b/>
                <w:bCs/>
                <w:sz w:val="17"/>
                <w:szCs w:val="17"/>
              </w:rPr>
              <w:t xml:space="preserve">Adversarial &amp; Prompt-Injection Testing</w:t>
            </w:r>
          </w:p>
          <w:p>
            <w:pPr>
              <w:spacing w:after="80" w:line="240" w:lineRule="auto"/>
            </w:pPr>
            <w:r>
              <w:rPr>
                <w:sz w:val="17"/>
                <w:szCs w:val="17"/>
              </w:rPr>
              <w:t xml:space="preserve">The fine-tuned model, its weights, and its inference path shall undergo adversarial and prompt-injection testing at least quarterly and before any material change. Findings rated high or above shall be remediated, or formally excepted under the exception record below, before continued production use.</w:t>
            </w:r>
          </w:p>
        </w:tc>
        <w:tc>
          <w:tcPr>
            <w:tcW w:w="1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80" w:line="240" w:lineRule="auto"/>
            </w:pPr>
            <w:r>
              <w:rPr>
                <w:sz w:val="17"/>
                <w:szCs w:val="17"/>
              </w:rPr>
              <w:t xml:space="preserve">A.8.3 — Security of AI Systems</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80" w:line="240" w:lineRule="auto"/>
            </w:pPr>
            <w:r>
              <w:rPr>
                <w:sz w:val="17"/>
                <w:szCs w:val="17"/>
              </w:rPr>
              <w:t xml:space="preserve">GAP-04 (Medium); SOC 2 CC6.3 rated Partial in Section 3.</w:t>
            </w:r>
          </w:p>
        </w:tc>
        <w:tc>
          <w:tcPr>
            <w:tcW w:w="22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80" w:line="240" w:lineRule="auto"/>
            </w:pPr>
            <w:r>
              <w:rPr>
                <w:sz w:val="17"/>
                <w:szCs w:val="17"/>
              </w:rPr>
              <w:t xml:space="preserve">Cyber Security responsible for commissioning tests; results reported to the AI Program Lead. Unremediated high findings escalate to the Executive Steering Committee within 10 business days.</w:t>
            </w:r>
          </w:p>
        </w:tc>
      </w:tr>
      <w:tr w:rsidR="000B4FD1">
        <w:trPr/>
        <w:tc>
          <w:tcPr>
            <w:tcW w:w="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80" w:line="240" w:lineRule="auto"/>
              <w:jc w:val="center"/>
            </w:pPr>
            <w:r>
              <w:rPr>
                <w:b/>
                <w:bCs/>
                <w:sz w:val="17"/>
                <w:szCs w:val="17"/>
              </w:rPr>
              <w:t xml:space="preserve">POL-05</w:t>
            </w:r>
          </w:p>
        </w:tc>
        <w:tc>
          <w:tcPr>
            <w:tcW w:w="2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80" w:line="240" w:lineRule="auto"/>
            </w:pPr>
            <w:r>
              <w:rPr>
                <w:b/>
                <w:bCs/>
                <w:sz w:val="17"/>
                <w:szCs w:val="17"/>
              </w:rPr>
              <w:t xml:space="preserve">Continuous Monitoring &amp; Failure Response</w:t>
            </w:r>
          </w:p>
          <w:p>
            <w:pPr>
              <w:spacing w:after="80" w:line="240" w:lineRule="auto"/>
            </w:pPr>
            <w:r>
              <w:rPr>
                <w:sz w:val="17"/>
                <w:szCs w:val="17"/>
              </w:rPr>
              <w:t xml:space="preserve">Prompt and response content shall be monitored for drift, degradation, and anomalous behaviour against defined thresholds, with alerting to the AI Program Lead. A documented failure taxonomy and output recall procedure shall be maintained and rehearsed at least annually, covering withdrawal of affected contract approvals and regulatory submissions.</w:t>
            </w:r>
          </w:p>
        </w:tc>
        <w:tc>
          <w:tcPr>
            <w:tcW w:w="1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80" w:line="240" w:lineRule="auto"/>
            </w:pPr>
            <w:r>
              <w:rPr>
                <w:sz w:val="17"/>
                <w:szCs w:val="17"/>
              </w:rPr>
              <w:t xml:space="preserve">A.6.2 — Logging and Monitoring</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80" w:line="240" w:lineRule="auto"/>
            </w:pPr>
            <w:r>
              <w:rPr>
                <w:sz w:val="17"/>
                <w:szCs w:val="17"/>
              </w:rPr>
              <w:t xml:space="preserve">GAP-04 (Medium); SOC 2 CC6.1 rated Partial — logging is metadata-only.</w:t>
            </w:r>
          </w:p>
        </w:tc>
        <w:tc>
          <w:tcPr>
            <w:tcW w:w="22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80" w:line="240" w:lineRule="auto"/>
            </w:pPr>
            <w:r>
              <w:rPr>
                <w:sz w:val="17"/>
                <w:szCs w:val="17"/>
              </w:rPr>
              <w:t xml:space="preserve">AI Program Lead accountable, consistent with the Section 1 RACI. Monthly monitoring report to the Executive Steering Committee; recall procedure rehearsal evidenced annually.</w:t>
            </w:r>
          </w:p>
        </w:tc>
      </w:tr>
      <w:tr w:rsidR="000B4FD1">
        <w:trPr/>
        <w:tc>
          <w:tcPr>
            <w:tcW w:w="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80" w:line="240" w:lineRule="auto"/>
              <w:jc w:val="center"/>
            </w:pPr>
            <w:r>
              <w:rPr>
                <w:b/>
                <w:bCs/>
                <w:sz w:val="17"/>
                <w:szCs w:val="17"/>
              </w:rPr>
              <w:t xml:space="preserve">POL-06</w:t>
            </w:r>
          </w:p>
        </w:tc>
        <w:tc>
          <w:tcPr>
            <w:tcW w:w="2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80" w:line="240" w:lineRule="auto"/>
            </w:pPr>
            <w:r>
              <w:rPr>
                <w:b/>
                <w:bCs/>
                <w:sz w:val="17"/>
                <w:szCs w:val="17"/>
              </w:rPr>
              <w:t xml:space="preserve">Transparency &amp; Human Accountability of Output</w:t>
            </w:r>
          </w:p>
          <w:p>
            <w:pPr>
              <w:spacing w:after="80" w:line="240" w:lineRule="auto"/>
            </w:pPr>
            <w:r>
              <w:rPr>
                <w:sz w:val="17"/>
                <w:szCs w:val="17"/>
              </w:rPr>
              <w:t xml:space="preserve">A current model card documenting capabilities, limitations, and out-of-scope uses shall be published and made available to all compliance and legal users. No FinanceGuard AI output shall inform a contract approval or regulatory submission without a recorded attestation naming the reviewing analyst and the date of review.</w:t>
            </w:r>
          </w:p>
        </w:tc>
        <w:tc>
          <w:tcPr>
            <w:tcW w:w="1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80" w:line="240" w:lineRule="auto"/>
            </w:pPr>
            <w:r>
              <w:rPr>
                <w:sz w:val="17"/>
                <w:szCs w:val="17"/>
              </w:rPr>
              <w:t xml:space="preserve">A.9.2 — AI System Transparency</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80" w:line="240" w:lineRule="auto"/>
            </w:pPr>
            <w:r>
              <w:rPr>
                <w:sz w:val="17"/>
                <w:szCs w:val="17"/>
              </w:rPr>
              <w:t xml:space="preserve">GAP-03 (Medium).</w:t>
            </w:r>
          </w:p>
        </w:tc>
        <w:tc>
          <w:tcPr>
            <w:tcW w:w="22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80" w:line="240" w:lineRule="auto"/>
            </w:pPr>
            <w:r>
              <w:rPr>
                <w:sz w:val="17"/>
                <w:szCs w:val="17"/>
              </w:rPr>
              <w:t xml:space="preserve">AI Program Lead publishes and reviews the model card semi-annually. Workflow control blocks approval where the attestation field is absent; exceptions sampled monthly.</w:t>
            </w:r>
          </w:p>
        </w:tc>
      </w:tr>
    </w:tbl>
    <w:p>
      <w:pPr>
        <w:spacing w:after="0"/>
      </w:pPr>
      <w:r>
        <w:rPr/>
        <w:t xml:space="preserve"/>
      </w:r>
    </w:p>
    <w:p>
      <w:pPr>
        <w:pStyle w:val="Heading3"/>
        <w:keepNext w:val="0"/>
        <w:keepLines w:val="0"/>
        <w:spacing w:before="280"/>
      </w:pPr>
      <w:r>
        <w:rPr>
          <w:b/>
          <w:bCs/>
          <w:sz w:val="26"/>
          <w:szCs w:val="26"/>
        </w:rPr>
        <w:t xml:space="preserve">2. Policy Exception Decision Record</w:t>
      </w:r>
    </w:p>
    <w:p>
      <w:pPr>
        <w:spacing w:before="240" w:after="240"/>
      </w:pPr>
      <w:r>
        <w:rPr>
          <w:b/>
          <w:bCs/>
        </w:rPr>
        <w:t xml:space="preserve">Instructions: </w:t>
      </w:r>
      <w:r>
        <w:rPr/>
        <w:t xml:space="preserve">Document one policy requirement that cannot currently be met. Record the risk-based rationale, name the approving governance role as designated in the Section 1 RACI, and state an explicit decision. An exception without an expiry date is a policy failure, not an exception.</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00"/>
        <w:gridCol w:w="6623"/>
      </w:tblGrid>
      <w:tr w:rsidR="000B4FD1">
        <w:trPr/>
        <w:tc>
          <w:tcPr>
            <w:tcW w:w="2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40" w:line="240" w:lineRule="auto"/>
              <w:jc w:val="center"/>
            </w:pPr>
            <w:r>
              <w:rPr>
                <w:b/>
                <w:bCs/>
                <w:sz w:val="18"/>
                <w:szCs w:val="18"/>
              </w:rPr>
              <w:t xml:space="preserve">Field</w:t>
            </w:r>
          </w:p>
        </w:tc>
        <w:tc>
          <w:tcPr>
            <w:tcW w:w="66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40" w:line="240" w:lineRule="auto"/>
              <w:jc w:val="center"/>
            </w:pPr>
            <w:r>
              <w:rPr>
                <w:b/>
                <w:bCs/>
                <w:sz w:val="18"/>
                <w:szCs w:val="18"/>
              </w:rPr>
              <w:t xml:space="preserve">Entry</w:t>
            </w:r>
          </w:p>
        </w:tc>
      </w:tr>
      <w:tr w:rsidR="000B4FD1">
        <w:trPr/>
        <w:tc>
          <w:tcPr>
            <w:tcW w:w="2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80" w:line="240" w:lineRule="auto"/>
            </w:pPr>
            <w:r>
              <w:rPr>
                <w:b/>
                <w:bCs/>
                <w:sz w:val="17"/>
                <w:szCs w:val="17"/>
              </w:rPr>
              <w:t xml:space="preserve">Exception ID</w:t>
            </w:r>
          </w:p>
        </w:tc>
        <w:tc>
          <w:tcPr>
            <w:tcW w:w="66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80" w:line="240" w:lineRule="auto"/>
            </w:pPr>
            <w:r>
              <w:rPr>
                <w:b/>
                <w:bCs/>
                <w:sz w:val="17"/>
                <w:szCs w:val="17"/>
              </w:rPr>
              <w:t xml:space="preserve">EXC-01</w:t>
            </w:r>
          </w:p>
        </w:tc>
      </w:tr>
      <w:tr w:rsidR="000B4FD1">
        <w:trPr/>
        <w:tc>
          <w:tcPr>
            <w:tcW w:w="2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80" w:line="240" w:lineRule="auto"/>
            </w:pPr>
            <w:r>
              <w:rPr>
                <w:b/>
                <w:bCs/>
                <w:sz w:val="17"/>
                <w:szCs w:val="17"/>
              </w:rPr>
              <w:t xml:space="preserve">Date raised</w:t>
            </w:r>
          </w:p>
        </w:tc>
        <w:tc>
          <w:tcPr>
            <w:tcW w:w="66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80" w:line="240" w:lineRule="auto"/>
            </w:pPr>
            <w:r>
              <w:rPr>
                <w:sz w:val="17"/>
                <w:szCs w:val="17"/>
              </w:rPr>
              <w:t xml:space="preserve">8 July 2026</w:t>
            </w:r>
          </w:p>
        </w:tc>
      </w:tr>
      <w:tr w:rsidR="000B4FD1">
        <w:trPr/>
        <w:tc>
          <w:tcPr>
            <w:tcW w:w="2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80" w:line="240" w:lineRule="auto"/>
            </w:pPr>
            <w:r>
              <w:rPr>
                <w:b/>
                <w:bCs/>
                <w:sz w:val="17"/>
                <w:szCs w:val="17"/>
              </w:rPr>
              <w:t xml:space="preserve">Raised by</w:t>
            </w:r>
          </w:p>
        </w:tc>
        <w:tc>
          <w:tcPr>
            <w:tcW w:w="66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80" w:line="240" w:lineRule="auto"/>
            </w:pPr>
            <w:r>
              <w:rPr>
                <w:sz w:val="17"/>
                <w:szCs w:val="17"/>
              </w:rPr>
              <w:t xml:space="preserve">Model Owner / Business Sponsor</w:t>
            </w:r>
          </w:p>
        </w:tc>
      </w:tr>
      <w:tr w:rsidR="000B4FD1">
        <w:trPr/>
        <w:tc>
          <w:tcPr>
            <w:tcW w:w="2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80" w:line="240" w:lineRule="auto"/>
            </w:pPr>
            <w:r>
              <w:rPr>
                <w:b/>
                <w:bCs/>
                <w:sz w:val="17"/>
                <w:szCs w:val="17"/>
              </w:rPr>
              <w:t xml:space="preserve">Policy requirement not met</w:t>
            </w:r>
          </w:p>
        </w:tc>
        <w:tc>
          <w:tcPr>
            <w:tcW w:w="66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80" w:line="240" w:lineRule="auto"/>
            </w:pPr>
            <w:r>
              <w:rPr>
                <w:sz w:val="17"/>
                <w:szCs w:val="17"/>
              </w:rPr>
              <w:t xml:space="preserve">POL-04 — Adversarial &amp; Prompt-Injection Testing. Enforces ISO/IEC 42001 A.8.3 (Security of AI Systems); evidences SOC 2 CC6.3. The policy requires quarterly adversarial and prompt-injection testing of the fine-tuned model, its weights, and its inference path, with high-rated findings remediated before continued production use.</w:t>
            </w:r>
          </w:p>
        </w:tc>
      </w:tr>
      <w:tr w:rsidR="000B4FD1">
        <w:trPr/>
        <w:tc>
          <w:tcPr>
            <w:tcW w:w="2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80" w:line="240" w:lineRule="auto"/>
            </w:pPr>
            <w:r>
              <w:rPr>
                <w:b/>
                <w:bCs/>
                <w:sz w:val="17"/>
                <w:szCs w:val="17"/>
              </w:rPr>
              <w:t xml:space="preserve">Why the requirement cannot currently be met</w:t>
            </w:r>
          </w:p>
        </w:tc>
        <w:tc>
          <w:tcPr>
            <w:tcW w:w="66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80" w:line="240" w:lineRule="auto"/>
            </w:pPr>
            <w:r>
              <w:rPr>
                <w:sz w:val="17"/>
                <w:szCs w:val="17"/>
              </w:rPr>
              <w:t xml:space="preserve">No internal capability exists to adversarially test a fine-tuned LLM. Specialist vendor procurement, clearance, and a data-handling agreement cannot complete within the current quarter; the earliest credible first test date is 60 days from approval. Suspending FinanceGuard AI in the interim would return the full monthly contract review volume to manual processing during the regulatory filing period.</w:t>
            </w:r>
          </w:p>
        </w:tc>
      </w:tr>
      <w:tr w:rsidR="000B4FD1">
        <w:trPr/>
        <w:tc>
          <w:tcPr>
            <w:tcW w:w="2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80" w:line="240" w:lineRule="auto"/>
            </w:pPr>
            <w:r>
              <w:rPr>
                <w:b/>
                <w:bCs/>
                <w:sz w:val="17"/>
                <w:szCs w:val="17"/>
              </w:rPr>
              <w:t xml:space="preserve">Risk-based rationale</w:t>
            </w:r>
          </w:p>
        </w:tc>
        <w:tc>
          <w:tcPr>
            <w:tcW w:w="66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80" w:line="240" w:lineRule="auto"/>
            </w:pPr>
            <w:r>
              <w:rPr>
                <w:sz w:val="17"/>
                <w:szCs w:val="17"/>
              </w:rPr>
              <w:t xml:space="preserve">The underlying deficiency is GAP-04, rated Medium — not one of the two High findings. A.8.3 is rated Partial rather than Gap in the Section 2 matrix: infrastructure hardening and network-layer penetration testing are current and evidenced, so the untested surface is the model layer specifically, not the perimeter. No prompt-injection incident has been identified in gateway logs to date. The residual exposure is therefore bounded. It is not the deletion-evidence failure at CC7.1 that is the determinative basis for the Section 3 No-Go recommendation, though it shares that recommendation's wider concern about content-level visibility.</w:t>
            </w:r>
          </w:p>
        </w:tc>
      </w:tr>
      <w:tr w:rsidR="000B4FD1">
        <w:trPr/>
        <w:tc>
          <w:tcPr>
            <w:tcW w:w="2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80" w:line="240" w:lineRule="auto"/>
            </w:pPr>
            <w:r>
              <w:rPr>
                <w:b/>
                <w:bCs/>
                <w:sz w:val="17"/>
                <w:szCs w:val="17"/>
              </w:rPr>
              <w:t xml:space="preserve">Compensating controls in force for the exception period</w:t>
            </w:r>
          </w:p>
        </w:tc>
        <w:tc>
          <w:tcPr>
            <w:tcW w:w="66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80" w:line="240" w:lineRule="auto"/>
            </w:pPr>
            <w:r>
              <w:rPr>
                <w:sz w:val="17"/>
                <w:szCs w:val="17"/>
              </w:rPr>
              <w:t xml:space="preserve">1. Gateway input filtering and payload size limits applied to every inference request.  2. All outputs remain subject to human review under POL-06 before informing any contract approval or regulatory submission — no autonomous filing path exists.  3. Weekly manual review of gateway anomaly logs by Cyber Security.  4. Model rollback to the prior checkpoint available on demand — an infrastructure control only; it does not constitute the output recall procedure that POL-05 still requires.</w:t>
            </w:r>
          </w:p>
        </w:tc>
      </w:tr>
      <w:tr w:rsidR="000B4FD1">
        <w:trPr/>
        <w:tc>
          <w:tcPr>
            <w:tcW w:w="2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80" w:line="240" w:lineRule="auto"/>
            </w:pPr>
            <w:r>
              <w:rPr>
                <w:b/>
                <w:bCs/>
                <w:sz w:val="17"/>
                <w:szCs w:val="17"/>
              </w:rPr>
              <w:t xml:space="preserve">Residual risk rating</w:t>
            </w:r>
          </w:p>
        </w:tc>
        <w:tc>
          <w:tcPr>
            <w:tcW w:w="66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80" w:line="240" w:lineRule="auto"/>
            </w:pPr>
            <w:r>
              <w:rPr>
                <w:sz w:val="17"/>
                <w:szCs w:val="17"/>
              </w:rPr>
              <w:t xml:space="preserve">Medium — accepted for the duration of the exception period only.</w:t>
            </w:r>
          </w:p>
        </w:tc>
      </w:tr>
      <w:tr w:rsidR="000B4FD1">
        <w:trPr/>
        <w:tc>
          <w:tcPr>
            <w:tcW w:w="2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80" w:line="240" w:lineRule="auto"/>
            </w:pPr>
            <w:r>
              <w:rPr>
                <w:b/>
                <w:bCs/>
                <w:sz w:val="17"/>
                <w:szCs w:val="17"/>
              </w:rPr>
              <w:t xml:space="preserve">Approving governance role (Section 1 RACI)</w:t>
            </w:r>
          </w:p>
        </w:tc>
        <w:tc>
          <w:tcPr>
            <w:tcW w:w="66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80" w:line="240" w:lineRule="auto"/>
            </w:pPr>
            <w:r>
              <w:rPr>
                <w:sz w:val="17"/>
                <w:szCs w:val="17"/>
              </w:rPr>
              <w:t xml:space="preserve">Executive Steering Committee, designated Accountable for “Exception Identification &amp; Framework Mitigation.” AI Program Lead responsible for maintaining this record and reporting status; Cyber Security &amp; Legal consulted.</w:t>
            </w:r>
          </w:p>
        </w:tc>
      </w:tr>
      <w:tr w:rsidR="000B4FD1">
        <w:trPr/>
        <w:tc>
          <w:tcPr>
            <w:tcW w:w="2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80" w:line="240" w:lineRule="auto"/>
            </w:pPr>
            <w:r>
              <w:rPr>
                <w:b/>
                <w:bCs/>
                <w:sz w:val="17"/>
                <w:szCs w:val="17"/>
              </w:rPr>
              <w:t xml:space="preserve">Decision</w:t>
            </w:r>
          </w:p>
        </w:tc>
        <w:tc>
          <w:tcPr>
            <w:tcW w:w="66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80" w:line="240" w:lineRule="auto"/>
            </w:pPr>
            <w:r>
              <w:rPr>
                <w:b/>
                <w:bCs/>
                <w:sz w:val="17"/>
                <w:szCs w:val="17"/>
              </w:rPr>
              <w:t xml:space="preserve">APPROVED — time-limited and conditional.</w:t>
            </w:r>
          </w:p>
        </w:tc>
      </w:tr>
      <w:tr w:rsidR="000B4FD1">
        <w:trPr/>
        <w:tc>
          <w:tcPr>
            <w:tcW w:w="2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80" w:line="240" w:lineRule="auto"/>
            </w:pPr>
            <w:r>
              <w:rPr>
                <w:b/>
                <w:bCs/>
                <w:sz w:val="17"/>
                <w:szCs w:val="17"/>
              </w:rPr>
              <w:t xml:space="preserve">Conditions of approval</w:t>
            </w:r>
          </w:p>
        </w:tc>
        <w:tc>
          <w:tcPr>
            <w:tcW w:w="66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80" w:line="240" w:lineRule="auto"/>
            </w:pPr>
            <w:r>
              <w:rPr>
                <w:sz w:val="17"/>
                <w:szCs w:val="17"/>
              </w:rPr>
              <w:t xml:space="preserve">Vendor engaged within 30 days. First adversarial test completed and reported within 60 days. Any high-rated finding remediated within 15 business days of report, failing which this exception lapses immediately and FinanceGuard AI is withdrawn from regulatory filing support.</w:t>
            </w:r>
          </w:p>
        </w:tc>
      </w:tr>
      <w:tr w:rsidR="000B4FD1">
        <w:trPr/>
        <w:tc>
          <w:tcPr>
            <w:tcW w:w="2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80" w:line="240" w:lineRule="auto"/>
            </w:pPr>
            <w:r>
              <w:rPr>
                <w:b/>
                <w:bCs/>
                <w:sz w:val="17"/>
                <w:szCs w:val="17"/>
              </w:rPr>
              <w:t xml:space="preserve">Expiry date</w:t>
            </w:r>
          </w:p>
        </w:tc>
        <w:tc>
          <w:tcPr>
            <w:tcW w:w="66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80" w:line="240" w:lineRule="auto"/>
            </w:pPr>
            <w:r>
              <w:rPr>
                <w:sz w:val="17"/>
                <w:szCs w:val="17"/>
              </w:rPr>
              <w:t xml:space="preserve">6 September 2026 (60 days from approval). Automatic lapse on expiry. No extension without a fresh Executive Steering Committee decision.</w:t>
            </w:r>
          </w:p>
        </w:tc>
      </w:tr>
      <w:tr w:rsidR="000B4FD1">
        <w:trPr/>
        <w:tc>
          <w:tcPr>
            <w:tcW w:w="2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80" w:line="240" w:lineRule="auto"/>
            </w:pPr>
            <w:r>
              <w:rPr>
                <w:b/>
                <w:bCs/>
                <w:sz w:val="17"/>
                <w:szCs w:val="17"/>
              </w:rPr>
              <w:t xml:space="preserve">Review and escalation</w:t>
            </w:r>
          </w:p>
        </w:tc>
        <w:tc>
          <w:tcPr>
            <w:tcW w:w="66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80" w:line="240" w:lineRule="auto"/>
            </w:pPr>
            <w:r>
              <w:rPr>
                <w:sz w:val="17"/>
                <w:szCs w:val="17"/>
              </w:rPr>
              <w:t xml:space="preserve">Status reported at each monthly governance review. Escalation to the CISO — the executive owner of the Cyber Security &amp; Legal function designated in the Section 1 RACI — and thereafter to the Executive Steering Committee if the 30-day vendor engagement milestone is missed.</w:t>
            </w:r>
          </w:p>
        </w:tc>
      </w:tr>
      <w:tr w:rsidR="000B4FD1">
        <w:trPr/>
        <w:tc>
          <w:tcPr>
            <w:tcW w:w="2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80" w:line="240" w:lineRule="auto"/>
            </w:pPr>
            <w:r>
              <w:rPr>
                <w:b/>
                <w:bCs/>
                <w:sz w:val="17"/>
                <w:szCs w:val="17"/>
              </w:rPr>
              <w:t xml:space="preserve">Related request refused under this review</w:t>
            </w:r>
          </w:p>
        </w:tc>
        <w:tc>
          <w:tcPr>
            <w:tcW w:w="66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80" w:line="240" w:lineRule="auto"/>
            </w:pPr>
            <w:r>
              <w:rPr>
                <w:sz w:val="17"/>
                <w:szCs w:val="17"/>
              </w:rPr>
              <w:t xml:space="preserve">A parallel request to except POL-03 (Data Boundary, Lineage &amp; Disposal), permitting untokenized PII to continue reaching third-party inference endpoints pending provider attestation, was DENIED. That deficiency is GAP-02 (High) and carries the CC7.1 Fail rating; it is the exposure on which the Section 3 No-Go rests. Granting it would except the organization from the very control the external audit will test. Remediation, not exception, is the only available path.</w:t>
            </w:r>
          </w:p>
        </w:tc>
      </w:tr>
    </w:tbl>
    <w:sectPr w:rsidR="000B4FD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D126073-FD5A-4F4E-9E44-EB16D6E4F28F}"/>
  </w:font>
  <w:font w:name="Cambria">
    <w:panose1 w:val="02040503050406030204"/>
    <w:charset w:val="00"/>
    <w:family w:val="roman"/>
    <w:pitch w:val="variable"/>
    <w:sig w:usb0="E00006FF" w:usb1="420024FF" w:usb2="02000000" w:usb3="00000000" w:csb0="0000019F" w:csb1="00000000"/>
    <w:embedRegular r:id="rId2" w:fontKey="{08C3AAC8-8015-4C28-A932-CE49BD61171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4FD1"/>
    <w:rsid w:val="0000031B"/>
    <w:rsid w:val="000B4FD1"/>
    <w:rsid w:val="002573F3"/>
    <w:rsid w:val="004E3554"/>
    <w:rsid w:val="008B249F"/>
    <w:rsid w:val="009855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969FF"/>
  <w15:docId w15:val="{EDC53C4F-041A-46B0-B74A-55A6478BF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258</Words>
  <Characters>1472</Characters>
  <Application>Microsoft Office Word</Application>
  <DocSecurity>0</DocSecurity>
  <Lines>12</Lines>
  <Paragraphs>3</Paragraphs>
  <ScaleCrop>false</ScaleCrop>
  <Company/>
  <LinksUpToDate>false</LinksUpToDate>
  <CharactersWithSpaces>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Radhika Palav</cp:lastModifiedBy>
  <cp:revision>9</cp:revision>
  <dcterms:created xsi:type="dcterms:W3CDTF">2026-07-17T08:27:00Z</dcterms:created>
  <dcterms:modified xsi:type="dcterms:W3CDTF">2026-07-17T08:28:00Z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aa652a91-c9ab-4a89-b558-7ea3a765641b</vt:lpwstr>
  </property>
</Properties>
</file>