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left"/>
      </w:pPr>
      <w:r>
        <w:rPr>
          <w:rFonts w:ascii="Calibri" w:hAnsi="Calibri"/>
          <w:b/>
          <w:i w:val="0"/>
          <w:color w:val="1B365D"/>
          <w:sz w:val="44"/>
        </w:rPr>
        <w:t>AI Ethics Assessment &amp; Governance Checklist</w:t>
      </w:r>
    </w:p>
    <w:p>
      <w:pPr>
        <w:spacing w:after="360"/>
      </w:pPr>
      <w:r>
        <w:rPr>
          <w:rFonts w:ascii="Calibri" w:hAnsi="Calibri"/>
          <w:b w:val="0"/>
          <w:i/>
          <w:color w:val="5C768D"/>
          <w:sz w:val="24"/>
        </w:rPr>
        <w:t>Auditor Implementation Guide &amp; Review Template</w:t>
      </w:r>
    </w:p>
    <w:p>
      <w:pPr>
        <w:keepNext/>
        <w:spacing w:before="360" w:after="120"/>
      </w:pPr>
      <w:r>
        <w:rPr>
          <w:rFonts w:ascii="Calibri" w:hAnsi="Calibri"/>
          <w:b/>
          <w:i w:val="0"/>
          <w:color w:val="1B365D"/>
          <w:sz w:val="32"/>
        </w:rPr>
        <w:t>Overview &amp; Operational Instructions</w:t>
      </w:r>
    </w:p>
    <w:p>
      <w:pPr>
        <w:spacing w:after="120" w:line="276" w:lineRule="auto"/>
      </w:pPr>
      <w:r>
        <w:rPr>
          <w:rFonts w:ascii="Calibri" w:hAnsi="Calibri"/>
          <w:b w:val="0"/>
          <w:i w:val="0"/>
          <w:color w:val="333333"/>
          <w:sz w:val="22"/>
        </w:rPr>
        <w:t>This document serves as an operational checklist and instructional guide for machine learning engineers, compliance auditors, and risk management personnel. It is designed to bridge the gap between technical system configurations (cloud networking, code gates, security telemetry) and high-level ethical governance policies.</w:t>
      </w:r>
    </w:p>
    <w:p>
      <w:pPr>
        <w:spacing w:after="120" w:line="276" w:lineRule="auto"/>
      </w:pPr>
      <w:r>
        <w:rPr>
          <w:rFonts w:ascii="Calibri" w:hAnsi="Calibri"/>
          <w:b/>
          <w:i w:val="0"/>
          <w:color w:val="333333"/>
          <w:sz w:val="22"/>
        </w:rPr>
        <w:t xml:space="preserve">How to Use This Template: </w:t>
      </w:r>
      <w:r>
        <w:rPr>
          <w:rFonts w:ascii="Calibri" w:hAnsi="Calibri"/>
          <w:b w:val="0"/>
          <w:i w:val="0"/>
          <w:color w:val="333333"/>
          <w:sz w:val="22"/>
        </w:rPr>
        <w:t>For each check item in the table below, the auditor must inspect the corresponding system or environment logs and assign an explicit designation of:</w:t>
      </w:r>
    </w:p>
    <w:p>
      <w:pPr>
        <w:spacing w:after="120" w:line="276" w:lineRule="auto"/>
      </w:pPr>
      <w:r>
        <w:rPr>
          <w:rFonts w:ascii="Calibri" w:hAnsi="Calibri"/>
          <w:b/>
          <w:i w:val="0"/>
          <w:color w:val="333333"/>
          <w:sz w:val="22"/>
        </w:rPr>
        <w:t xml:space="preserve">• Pass: </w:t>
      </w:r>
      <w:r>
        <w:rPr>
          <w:rFonts w:ascii="Calibri" w:hAnsi="Calibri"/>
          <w:b w:val="0"/>
          <w:i w:val="0"/>
          <w:color w:val="333333"/>
          <w:sz w:val="22"/>
        </w:rPr>
        <w:t>The metric criteria meet all ethical, safety, and operational baseline policies. No remediation required.</w:t>
      </w:r>
    </w:p>
    <w:p>
      <w:pPr>
        <w:spacing w:after="120" w:line="276" w:lineRule="auto"/>
      </w:pPr>
      <w:r>
        <w:rPr>
          <w:rFonts w:ascii="Calibri" w:hAnsi="Calibri"/>
          <w:b/>
          <w:i w:val="0"/>
          <w:color w:val="333333"/>
          <w:sz w:val="22"/>
        </w:rPr>
        <w:t xml:space="preserve">• Flag: </w:t>
      </w:r>
      <w:r>
        <w:rPr>
          <w:rFonts w:ascii="Calibri" w:hAnsi="Calibri"/>
          <w:b w:val="0"/>
          <w:i w:val="0"/>
          <w:color w:val="333333"/>
          <w:sz w:val="22"/>
        </w:rPr>
        <w:t>The metric reveals a vulnerability, missing data element, or structural gap that doesn't halt the immediate core run but requires documented remediation before production finalization.</w:t>
      </w:r>
    </w:p>
    <w:p>
      <w:pPr>
        <w:spacing w:after="120" w:line="276" w:lineRule="auto"/>
      </w:pPr>
      <w:r>
        <w:rPr>
          <w:rFonts w:ascii="Calibri" w:hAnsi="Calibri"/>
          <w:b/>
          <w:i w:val="0"/>
          <w:color w:val="333333"/>
          <w:sz w:val="22"/>
        </w:rPr>
        <w:t xml:space="preserve">• Fail: </w:t>
      </w:r>
      <w:r>
        <w:rPr>
          <w:rFonts w:ascii="Calibri" w:hAnsi="Calibri"/>
          <w:b w:val="0"/>
          <w:i w:val="0"/>
          <w:color w:val="333333"/>
          <w:sz w:val="22"/>
        </w:rPr>
        <w:t>A severe ethical or safety policy breach has been confirmed (e.g., unmitigated priority 1 demographic bias, public infrastructure exposure). This requires a hard stop gate on execution.</w:t>
      </w:r>
    </w:p>
    <w:p>
      <w:pPr>
        <w:keepNext/>
        <w:spacing w:before="240" w:after="80"/>
      </w:pPr>
      <w:r>
        <w:rPr>
          <w:rFonts w:ascii="Calibri" w:hAnsi="Calibri"/>
          <w:b/>
          <w:i w:val="0"/>
          <w:color w:val="5C768D"/>
          <w:sz w:val="26"/>
        </w:rPr>
        <w:t>Assessment Metadata (To be completed by Auditor)</w:t>
      </w:r>
    </w:p>
    <w:tbl>
      <w:tblPr>
        <w:tblW w:type="auto" w:w="0"/>
        <w:jc w:val="center"/>
        <w:tblLook w:firstColumn="1" w:firstRow="1" w:lastColumn="0" w:lastRow="0" w:noHBand="0" w:noVBand="1" w:val="04A0"/>
      </w:tblPr>
      <w:tblGrid>
        <w:gridCol w:w="4680"/>
        <w:gridCol w:w="4680"/>
      </w:tblGrid>
      <w:tr>
        <w:tc>
          <w:tcPr>
            <w:tcW w:type="dxa" w:w="3168"/>
            <w:shd w:fill="F4F6F8"/>
          </w:tcPr>
          <w:p>
            <w:pPr>
              <w:spacing w:before="80" w:after="80" w:line="276" w:lineRule="auto"/>
              <w:jc w:val="left"/>
            </w:pPr>
            <w:r/>
            <w:r>
              <w:rPr>
                <w:rFonts w:ascii="Calibri" w:hAnsi="Calibri"/>
                <w:b/>
                <w:i w:val="0"/>
                <w:color w:val="333333"/>
                <w:sz w:val="20"/>
              </w:rPr>
              <w:t>AI System Name &amp; Version:</w:t>
            </w:r>
          </w:p>
        </w:tc>
        <w:tc>
          <w:tcPr>
            <w:tcW w:type="dxa" w:w="6192"/>
          </w:tcPr>
          <w:p>
            <w:pPr>
              <w:spacing w:before="80" w:after="80" w:line="276" w:lineRule="auto"/>
              <w:jc w:val="left"/>
            </w:pPr>
            <w:r/>
            <w:r>
              <w:rPr>
                <w:rFonts w:ascii="Calibri" w:hAnsi="Calibri"/>
                <w:b w:val="0"/>
                <w:i/>
                <w:color w:val="666666"/>
                <w:sz w:val="20"/>
              </w:rPr>
              <w:t>[ e.g., Clinical Triage Prioritization Model (CTPM-v1) ]</w:t>
            </w:r>
          </w:p>
        </w:tc>
      </w:tr>
      <w:tr>
        <w:tc>
          <w:tcPr>
            <w:tcW w:type="dxa" w:w="3168"/>
            <w:shd w:fill="F4F6F8"/>
          </w:tcPr>
          <w:p>
            <w:pPr>
              <w:spacing w:before="80" w:after="80" w:line="276" w:lineRule="auto"/>
              <w:jc w:val="left"/>
            </w:pPr>
            <w:r/>
            <w:r>
              <w:rPr>
                <w:rFonts w:ascii="Calibri" w:hAnsi="Calibri"/>
                <w:b/>
                <w:i w:val="0"/>
                <w:color w:val="333333"/>
                <w:sz w:val="20"/>
              </w:rPr>
              <w:t>Evaluation Date / Cycle:</w:t>
            </w:r>
          </w:p>
        </w:tc>
        <w:tc>
          <w:tcPr>
            <w:tcW w:type="dxa" w:w="6192"/>
          </w:tcPr>
          <w:p>
            <w:pPr>
              <w:spacing w:before="80" w:after="80" w:line="276" w:lineRule="auto"/>
              <w:jc w:val="left"/>
            </w:pPr>
            <w:r/>
            <w:r>
              <w:rPr>
                <w:rFonts w:ascii="Calibri" w:hAnsi="Calibri"/>
                <w:b w:val="0"/>
                <w:i/>
                <w:color w:val="666666"/>
                <w:sz w:val="20"/>
              </w:rPr>
              <w:t>[ Date of execution / audit sprint ]</w:t>
            </w:r>
          </w:p>
        </w:tc>
      </w:tr>
      <w:tr>
        <w:tc>
          <w:tcPr>
            <w:tcW w:type="dxa" w:w="3168"/>
            <w:shd w:fill="F4F6F8"/>
          </w:tcPr>
          <w:p>
            <w:pPr>
              <w:spacing w:before="80" w:after="80" w:line="276" w:lineRule="auto"/>
              <w:jc w:val="left"/>
            </w:pPr>
            <w:r/>
            <w:r>
              <w:rPr>
                <w:rFonts w:ascii="Calibri" w:hAnsi="Calibri"/>
                <w:b/>
                <w:i w:val="0"/>
                <w:color w:val="333333"/>
                <w:sz w:val="20"/>
              </w:rPr>
              <w:t>Assigned Lead Auditor:</w:t>
            </w:r>
          </w:p>
        </w:tc>
        <w:tc>
          <w:tcPr>
            <w:tcW w:type="dxa" w:w="6192"/>
          </w:tcPr>
          <w:p>
            <w:pPr>
              <w:spacing w:before="80" w:after="80" w:line="276" w:lineRule="auto"/>
              <w:jc w:val="left"/>
            </w:pPr>
            <w:r/>
            <w:r>
              <w:rPr>
                <w:rFonts w:ascii="Calibri" w:hAnsi="Calibri"/>
                <w:b w:val="0"/>
                <w:i/>
                <w:color w:val="666666"/>
                <w:sz w:val="20"/>
              </w:rPr>
              <w:t>[ Name / Department / Role ]</w:t>
            </w:r>
          </w:p>
        </w:tc>
      </w:tr>
      <w:tr>
        <w:tc>
          <w:tcPr>
            <w:tcW w:type="dxa" w:w="3168"/>
            <w:shd w:fill="F4F6F8"/>
          </w:tcPr>
          <w:p>
            <w:pPr>
              <w:spacing w:before="80" w:after="80" w:line="276" w:lineRule="auto"/>
              <w:jc w:val="left"/>
            </w:pPr>
            <w:r/>
            <w:r>
              <w:rPr>
                <w:rFonts w:ascii="Calibri" w:hAnsi="Calibri"/>
                <w:b/>
                <w:i w:val="0"/>
                <w:color w:val="333333"/>
                <w:sz w:val="20"/>
              </w:rPr>
              <w:t>Target Evaluation Assets:</w:t>
            </w:r>
          </w:p>
        </w:tc>
        <w:tc>
          <w:tcPr>
            <w:tcW w:type="dxa" w:w="6192"/>
          </w:tcPr>
          <w:p>
            <w:pPr>
              <w:spacing w:before="80" w:after="80" w:line="276" w:lineRule="auto"/>
              <w:jc w:val="left"/>
            </w:pPr>
            <w:r/>
            <w:r>
              <w:rPr>
                <w:rFonts w:ascii="Calibri" w:hAnsi="Calibri"/>
                <w:b w:val="0"/>
                <w:i/>
                <w:color w:val="666666"/>
                <w:sz w:val="20"/>
              </w:rPr>
              <w:t>[ Data tables, model endpoints, or pipeline IDs evaluated ]</w:t>
            </w:r>
          </w:p>
        </w:tc>
      </w:tr>
    </w:tbl>
    <w:p>
      <w:pPr>
        <w:spacing w:after="240"/>
      </w:pPr>
    </w:p>
    <w:p>
      <w:pPr>
        <w:keepNext/>
        <w:spacing w:before="360" w:after="120"/>
      </w:pPr>
      <w:r>
        <w:rPr>
          <w:rFonts w:ascii="Calibri" w:hAnsi="Calibri"/>
          <w:b/>
          <w:i w:val="0"/>
          <w:color w:val="1B365D"/>
          <w:sz w:val="32"/>
        </w:rPr>
        <w:t>Ethical AI Review Checklist Matrix</w:t>
      </w:r>
    </w:p>
    <w:tbl>
      <w:tblPr>
        <w:tblW w:type="auto" w:w="0"/>
        <w:jc w:val="center"/>
        <w:tblLook w:firstColumn="1" w:firstRow="1" w:lastColumn="0" w:lastRow="0" w:noHBand="0" w:noVBand="1" w:val="04A0"/>
      </w:tblPr>
      <w:tblGrid>
        <w:gridCol w:w="2340"/>
        <w:gridCol w:w="2340"/>
        <w:gridCol w:w="2340"/>
        <w:gridCol w:w="2340"/>
      </w:tblGrid>
      <w:tr>
        <w:tc>
          <w:tcPr>
            <w:tcW w:type="dxa" w:w="2160"/>
            <w:shd w:fill="1B365D"/>
          </w:tcPr>
          <w:p>
            <w:pPr>
              <w:spacing w:before="80" w:after="80" w:line="276" w:lineRule="auto"/>
              <w:jc w:val="left"/>
            </w:pPr>
            <w:r/>
            <w:r>
              <w:rPr>
                <w:rFonts w:ascii="Calibri" w:hAnsi="Calibri"/>
                <w:b/>
                <w:i w:val="0"/>
                <w:color w:val="FFFFFF"/>
                <w:sz w:val="20"/>
              </w:rPr>
              <w:t>Category</w:t>
            </w:r>
          </w:p>
        </w:tc>
        <w:tc>
          <w:tcPr>
            <w:tcW w:type="dxa" w:w="2592"/>
            <w:shd w:fill="1B365D"/>
          </w:tcPr>
          <w:p>
            <w:pPr>
              <w:spacing w:before="80" w:after="80" w:line="276" w:lineRule="auto"/>
              <w:jc w:val="left"/>
            </w:pPr>
            <w:r/>
            <w:r>
              <w:rPr>
                <w:rFonts w:ascii="Calibri" w:hAnsi="Calibri"/>
                <w:b/>
                <w:i w:val="0"/>
                <w:color w:val="FFFFFF"/>
                <w:sz w:val="20"/>
              </w:rPr>
              <w:t>Evaluation Criteria</w:t>
            </w:r>
          </w:p>
        </w:tc>
        <w:tc>
          <w:tcPr>
            <w:tcW w:type="dxa" w:w="1872"/>
            <w:shd w:fill="1B365D"/>
          </w:tcPr>
          <w:p>
            <w:pPr>
              <w:spacing w:before="80" w:after="80" w:line="276" w:lineRule="auto"/>
              <w:jc w:val="center"/>
            </w:pPr>
            <w:r/>
            <w:r>
              <w:rPr>
                <w:rFonts w:ascii="Calibri" w:hAnsi="Calibri"/>
                <w:b/>
                <w:i w:val="0"/>
                <w:color w:val="FFFFFF"/>
                <w:sz w:val="20"/>
              </w:rPr>
              <w:t>Designation</w:t>
              <w:br/>
              <w:t>[Pass / Flag / Fail]</w:t>
            </w:r>
          </w:p>
        </w:tc>
        <w:tc>
          <w:tcPr>
            <w:tcW w:type="dxa" w:w="3456"/>
            <w:shd w:fill="1B365D"/>
          </w:tcPr>
          <w:p>
            <w:pPr>
              <w:spacing w:before="80" w:after="80" w:line="276" w:lineRule="auto"/>
              <w:jc w:val="left"/>
            </w:pPr>
            <w:r/>
            <w:r>
              <w:rPr>
                <w:rFonts w:ascii="Calibri" w:hAnsi="Calibri"/>
                <w:b/>
                <w:i w:val="0"/>
                <w:color w:val="FFFFFF"/>
                <w:sz w:val="20"/>
              </w:rPr>
              <w:t>Auditor Verification Guidance</w:t>
            </w:r>
          </w:p>
        </w:tc>
      </w:tr>
      <w:tr>
        <w:tc>
          <w:tcPr>
            <w:tcW w:type="dxa" w:w="2160"/>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i w:val="0"/>
                <w:color w:val="333333"/>
                <w:sz w:val="19"/>
              </w:rPr>
              <w:t>Bias &amp; Fairness</w:t>
            </w:r>
          </w:p>
        </w:tc>
        <w:tc>
          <w:tcPr>
            <w:tcW w:type="dxa" w:w="2592"/>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Representation balance across demographic groups</w:t>
            </w:r>
          </w:p>
        </w:tc>
        <w:tc>
          <w:tcPr>
            <w:tcW w:type="dxa" w:w="1872"/>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  ] Pass</w:t>
              <w:br/>
              <w:t>[  ] Flag</w:t>
              <w:br/>
              <w:t>[  ] Fail</w:t>
            </w:r>
          </w:p>
        </w:tc>
        <w:tc>
          <w:tcPr>
            <w:tcW w:type="dxa" w:w="3456"/>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color w:val="666666"/>
                <w:sz w:val="18"/>
              </w:rPr>
              <w:t>Examine metrics for fairness disparities (e.g., parity differences in triage speed or false negatives across age/gender subgroups).</w:t>
            </w:r>
          </w:p>
        </w:tc>
      </w:tr>
      <w:tr>
        <w:tc>
          <w:tcPr>
            <w:tcW w:type="dxa" w:w="2160"/>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i w:val="0"/>
                <w:color w:val="333333"/>
                <w:sz w:val="19"/>
              </w:rPr>
              <w:t>Bias &amp; Fairness</w:t>
            </w:r>
          </w:p>
        </w:tc>
        <w:tc>
          <w:tcPr>
            <w:tcW w:type="dxa" w:w="2592"/>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Severity of bias findings tied to policy impact</w:t>
            </w:r>
          </w:p>
        </w:tc>
        <w:tc>
          <w:tcPr>
            <w:tcW w:type="dxa" w:w="1872"/>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  ] Pass</w:t>
              <w:br/>
              <w:t>[  ] Flag</w:t>
              <w:br/>
              <w:t>[  ] Fail</w:t>
            </w:r>
          </w:p>
        </w:tc>
        <w:tc>
          <w:tcPr>
            <w:tcW w:type="dxa" w:w="3456"/>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color w:val="666666"/>
                <w:sz w:val="18"/>
              </w:rPr>
              <w:t>Check if systemic algorithmic variances map directly to defined institutional safety/clinical risk priority buckets.</w:t>
            </w:r>
          </w:p>
        </w:tc>
      </w:tr>
      <w:tr>
        <w:tc>
          <w:tcPr>
            <w:tcW w:type="dxa" w:w="2160"/>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i w:val="0"/>
                <w:color w:val="333333"/>
                <w:sz w:val="19"/>
              </w:rPr>
              <w:t>Bias &amp; Fairness</w:t>
            </w:r>
          </w:p>
        </w:tc>
        <w:tc>
          <w:tcPr>
            <w:tcW w:type="dxa" w:w="2592"/>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Escalation rationale documented for Priority 1 findings</w:t>
            </w:r>
          </w:p>
        </w:tc>
        <w:tc>
          <w:tcPr>
            <w:tcW w:type="dxa" w:w="1872"/>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  ] Pass</w:t>
              <w:br/>
              <w:t>[  ] Flag</w:t>
              <w:br/>
              <w:t>[  ] Fail</w:t>
            </w:r>
          </w:p>
        </w:tc>
        <w:tc>
          <w:tcPr>
            <w:tcW w:type="dxa" w:w="3456"/>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color w:val="666666"/>
                <w:sz w:val="18"/>
              </w:rPr>
              <w:t>Ensure any life-threatening bias finding triggers an immediate P1 log and automated notification to leadership structures.</w:t>
            </w:r>
          </w:p>
        </w:tc>
      </w:tr>
      <w:tr>
        <w:tc>
          <w:tcPr>
            <w:tcW w:type="dxa" w:w="2160"/>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i w:val="0"/>
                <w:color w:val="333333"/>
                <w:sz w:val="19"/>
              </w:rPr>
              <w:t>Privacy &amp; Security</w:t>
            </w:r>
          </w:p>
        </w:tc>
        <w:tc>
          <w:tcPr>
            <w:tcW w:type="dxa" w:w="2592"/>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Sensitive data tagged with Purview sensitivity labels</w:t>
            </w:r>
          </w:p>
        </w:tc>
        <w:tc>
          <w:tcPr>
            <w:tcW w:type="dxa" w:w="1872"/>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  ] Pass</w:t>
              <w:br/>
              <w:t>[  ] Flag</w:t>
              <w:br/>
              <w:t>[  ] Fail</w:t>
            </w:r>
          </w:p>
        </w:tc>
        <w:tc>
          <w:tcPr>
            <w:tcW w:type="dxa" w:w="3456"/>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color w:val="666666"/>
                <w:sz w:val="18"/>
              </w:rPr>
              <w:t>Verify that raw data source structures and vector indexing platforms inherit official Microsoft Purview security/PHI classification tags.</w:t>
            </w:r>
          </w:p>
        </w:tc>
      </w:tr>
      <w:tr>
        <w:tc>
          <w:tcPr>
            <w:tcW w:type="dxa" w:w="2160"/>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i w:val="0"/>
                <w:color w:val="333333"/>
                <w:sz w:val="19"/>
              </w:rPr>
              <w:t>Privacy &amp; Security</w:t>
            </w:r>
          </w:p>
        </w:tc>
        <w:tc>
          <w:tcPr>
            <w:tcW w:type="dxa" w:w="2592"/>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Secrets stored in Azure Key Vault</w:t>
            </w:r>
          </w:p>
        </w:tc>
        <w:tc>
          <w:tcPr>
            <w:tcW w:type="dxa" w:w="1872"/>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  ] Pass</w:t>
              <w:br/>
              <w:t>[  ] Flag</w:t>
              <w:br/>
              <w:t>[  ] Fail</w:t>
            </w:r>
          </w:p>
        </w:tc>
        <w:tc>
          <w:tcPr>
            <w:tcW w:type="dxa" w:w="3456"/>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color w:val="666666"/>
                <w:sz w:val="18"/>
              </w:rPr>
              <w:t>Confirm datastores utilize identity-based Managed Identities; cross out and reject plaintext Account Keys or SAS tokens.</w:t>
            </w:r>
          </w:p>
        </w:tc>
      </w:tr>
      <w:tr>
        <w:tc>
          <w:tcPr>
            <w:tcW w:type="dxa" w:w="2160"/>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i w:val="0"/>
                <w:color w:val="333333"/>
                <w:sz w:val="19"/>
              </w:rPr>
              <w:t>Privacy &amp; Security</w:t>
            </w:r>
          </w:p>
        </w:tc>
        <w:tc>
          <w:tcPr>
            <w:tcW w:type="dxa" w:w="2592"/>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Retention policies applied correctly to embedding indexes</w:t>
            </w:r>
          </w:p>
        </w:tc>
        <w:tc>
          <w:tcPr>
            <w:tcW w:type="dxa" w:w="1872"/>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  ] Pass</w:t>
              <w:br/>
              <w:t>[  ] Flag</w:t>
              <w:br/>
              <w:t>[  ] Fail</w:t>
            </w:r>
          </w:p>
        </w:tc>
        <w:tc>
          <w:tcPr>
            <w:tcW w:type="dxa" w:w="3456"/>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color w:val="666666"/>
                <w:sz w:val="18"/>
              </w:rPr>
              <w:t>Check lifecycle rules on embedding layers. Ensure unhashed or raw PII identifiers are not over-retained in cold pools.</w:t>
            </w:r>
          </w:p>
        </w:tc>
      </w:tr>
      <w:tr>
        <w:tc>
          <w:tcPr>
            <w:tcW w:type="dxa" w:w="2160"/>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i w:val="0"/>
                <w:color w:val="333333"/>
                <w:sz w:val="19"/>
              </w:rPr>
              <w:t>Accountability &amp; Transparency</w:t>
            </w:r>
          </w:p>
        </w:tc>
        <w:tc>
          <w:tcPr>
            <w:tcW w:type="dxa" w:w="2592"/>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Lineage metadata review completed</w:t>
            </w:r>
          </w:p>
        </w:tc>
        <w:tc>
          <w:tcPr>
            <w:tcW w:type="dxa" w:w="1872"/>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  ] Pass</w:t>
              <w:br/>
              <w:t>[  ] Flag</w:t>
              <w:br/>
              <w:t>[  ] Fail</w:t>
            </w:r>
          </w:p>
        </w:tc>
        <w:tc>
          <w:tcPr>
            <w:tcW w:type="dxa" w:w="3456"/>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color w:val="666666"/>
                <w:sz w:val="18"/>
              </w:rPr>
              <w:t>Inspect upstream dependency graphs. Audit modifications made from primary intake pipelines down to target feature stores.</w:t>
            </w:r>
          </w:p>
        </w:tc>
      </w:tr>
      <w:tr>
        <w:tc>
          <w:tcPr>
            <w:tcW w:type="dxa" w:w="2160"/>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i w:val="0"/>
                <w:color w:val="333333"/>
                <w:sz w:val="19"/>
              </w:rPr>
              <w:t>Accountability &amp; Transparency</w:t>
            </w:r>
          </w:p>
        </w:tc>
        <w:tc>
          <w:tcPr>
            <w:tcW w:type="dxa" w:w="2592"/>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Non-compliant sources identified and remediation path documented</w:t>
            </w:r>
          </w:p>
        </w:tc>
        <w:tc>
          <w:tcPr>
            <w:tcW w:type="dxa" w:w="1872"/>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  ] Pass</w:t>
              <w:br/>
              <w:t>[  ] Flag</w:t>
              <w:br/>
              <w:t>[  ] Fail</w:t>
            </w:r>
          </w:p>
        </w:tc>
        <w:tc>
          <w:tcPr>
            <w:tcW w:type="dxa" w:w="3456"/>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color w:val="666666"/>
                <w:sz w:val="18"/>
              </w:rPr>
              <w:t>Review metadata registers. Flag any unbalanced historical subsets or excessive PII, detailing crisp mitigation tickets for engineers.</w:t>
            </w:r>
          </w:p>
        </w:tc>
      </w:tr>
      <w:tr>
        <w:tc>
          <w:tcPr>
            <w:tcW w:type="dxa" w:w="2160"/>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i w:val="0"/>
                <w:color w:val="333333"/>
                <w:sz w:val="19"/>
              </w:rPr>
              <w:t>Accountability &amp; Transparency</w:t>
            </w:r>
          </w:p>
        </w:tc>
        <w:tc>
          <w:tcPr>
            <w:tcW w:type="dxa" w:w="2592"/>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Governance decision recorded</w:t>
            </w:r>
          </w:p>
        </w:tc>
        <w:tc>
          <w:tcPr>
            <w:tcW w:type="dxa" w:w="1872"/>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  ] Pass</w:t>
              <w:br/>
              <w:t>[  ] Flag</w:t>
              <w:br/>
              <w:t>[  ] Fail</w:t>
            </w:r>
          </w:p>
        </w:tc>
        <w:tc>
          <w:tcPr>
            <w:tcW w:type="dxa" w:w="3456"/>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color w:val="666666"/>
                <w:sz w:val="18"/>
              </w:rPr>
              <w:t>Verify that an explicit, authoritative operational status (Proceed / Mitigate / Reject) is logged into the configuration database.</w:t>
            </w:r>
          </w:p>
        </w:tc>
      </w:tr>
      <w:tr>
        <w:tc>
          <w:tcPr>
            <w:tcW w:type="dxa" w:w="2160"/>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i w:val="0"/>
                <w:color w:val="333333"/>
                <w:sz w:val="19"/>
              </w:rPr>
              <w:t>Reliability &amp; Safety</w:t>
            </w:r>
          </w:p>
        </w:tc>
        <w:tc>
          <w:tcPr>
            <w:tcW w:type="dxa" w:w="2592"/>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VNet Injection Applied</w:t>
              <w:br/>
              <w:t>(Perimeter Isolation)</w:t>
            </w:r>
          </w:p>
        </w:tc>
        <w:tc>
          <w:tcPr>
            <w:tcW w:type="dxa" w:w="1872"/>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  ] Pass</w:t>
              <w:br/>
              <w:t>[  ] Flag</w:t>
              <w:br/>
              <w:t>[  ] Fail</w:t>
            </w:r>
          </w:p>
        </w:tc>
        <w:tc>
          <w:tcPr>
            <w:tcW w:type="dxa" w:w="3456"/>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color w:val="666666"/>
                <w:sz w:val="18"/>
              </w:rPr>
              <w:t>Inspect the Azure ML Workspace configuration page. Public network access must be Disabled, with Managed VNet isolated via approved endpoints.</w:t>
            </w:r>
          </w:p>
        </w:tc>
      </w:tr>
      <w:tr>
        <w:tc>
          <w:tcPr>
            <w:tcW w:type="dxa" w:w="2160"/>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i w:val="0"/>
                <w:color w:val="333333"/>
                <w:sz w:val="19"/>
              </w:rPr>
              <w:t>Reliability &amp; Safety</w:t>
            </w:r>
          </w:p>
        </w:tc>
        <w:tc>
          <w:tcPr>
            <w:tcW w:type="dxa" w:w="2592"/>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Pipeline CI Checks</w:t>
              <w:br/>
              <w:t>(Infrastructure Gates)</w:t>
            </w:r>
          </w:p>
        </w:tc>
        <w:tc>
          <w:tcPr>
            <w:tcW w:type="dxa" w:w="1872"/>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  ] Pass</w:t>
              <w:br/>
              <w:t>[  ] Flag</w:t>
              <w:br/>
              <w:t>[  ] Fail</w:t>
            </w:r>
          </w:p>
        </w:tc>
        <w:tc>
          <w:tcPr>
            <w:tcW w:type="dxa" w:w="3456"/>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color w:val="666666"/>
                <w:sz w:val="18"/>
              </w:rPr>
              <w:t>Examine CI/CD runner logs. Confirm static code analyzers (e.g., Checkov) enforce a hard-stop gate (`continueOnError = false`) upon parameter violations.</w:t>
            </w:r>
          </w:p>
        </w:tc>
      </w:tr>
      <w:tr>
        <w:tc>
          <w:tcPr>
            <w:tcW w:type="dxa" w:w="2160"/>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i w:val="0"/>
                <w:color w:val="333333"/>
                <w:sz w:val="19"/>
              </w:rPr>
              <w:t>Reliability &amp; Safety</w:t>
            </w:r>
          </w:p>
        </w:tc>
        <w:tc>
          <w:tcPr>
            <w:tcW w:type="dxa" w:w="2592"/>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Key Vault Integration</w:t>
              <w:br/>
              <w:t>(Data Encryption)</w:t>
            </w:r>
          </w:p>
        </w:tc>
        <w:tc>
          <w:tcPr>
            <w:tcW w:type="dxa" w:w="1872"/>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  ] Pass</w:t>
              <w:br/>
              <w:t>[  ] Flag</w:t>
              <w:br/>
              <w:t>[  ] Fail</w:t>
            </w:r>
          </w:p>
        </w:tc>
        <w:tc>
          <w:tcPr>
            <w:tcW w:type="dxa" w:w="3456"/>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color w:val="666666"/>
                <w:sz w:val="18"/>
              </w:rPr>
              <w:t>Confirm workspace configuration maps to Customer-Managed Keys (CMK) within the vault to shield underlying cache/compute stores.</w:t>
            </w:r>
          </w:p>
        </w:tc>
      </w:tr>
      <w:tr>
        <w:tc>
          <w:tcPr>
            <w:tcW w:type="dxa" w:w="2160"/>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i w:val="0"/>
                <w:color w:val="333333"/>
                <w:sz w:val="19"/>
              </w:rPr>
              <w:t>Reliability &amp; Safety</w:t>
            </w:r>
          </w:p>
        </w:tc>
        <w:tc>
          <w:tcPr>
            <w:tcW w:type="dxa" w:w="2592"/>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Security Telemetry Interpreted Correctly</w:t>
            </w:r>
          </w:p>
        </w:tc>
        <w:tc>
          <w:tcPr>
            <w:tcW w:type="dxa" w:w="1872"/>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  ] Pass</w:t>
              <w:br/>
              <w:t>[  ] Flag</w:t>
              <w:br/>
              <w:t>[  ] Fail</w:t>
            </w:r>
          </w:p>
        </w:tc>
        <w:tc>
          <w:tcPr>
            <w:tcW w:type="dxa" w:w="3456"/>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color w:val="666666"/>
                <w:sz w:val="18"/>
              </w:rPr>
              <w:t>Verify that Defender for Cloud alert packages are correctly parsed across severity levels, target resources, and timeline clustering.</w:t>
            </w:r>
          </w:p>
        </w:tc>
      </w:tr>
      <w:tr>
        <w:tc>
          <w:tcPr>
            <w:tcW w:type="dxa" w:w="2160"/>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i w:val="0"/>
                <w:color w:val="333333"/>
                <w:sz w:val="19"/>
              </w:rPr>
              <w:t>Inclusiveness</w:t>
            </w:r>
          </w:p>
        </w:tc>
        <w:tc>
          <w:tcPr>
            <w:tcW w:type="dxa" w:w="2592"/>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Diverse user groups represented in testing scenarios</w:t>
            </w:r>
          </w:p>
        </w:tc>
        <w:tc>
          <w:tcPr>
            <w:tcW w:type="dxa" w:w="1872"/>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  ] Pass</w:t>
              <w:br/>
              <w:t>[  ] Flag</w:t>
              <w:br/>
              <w:t>[  ] Fail</w:t>
            </w:r>
          </w:p>
        </w:tc>
        <w:tc>
          <w:tcPr>
            <w:tcW w:type="dxa" w:w="3456"/>
            <w:shd w:fill="F4F6F8"/>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color w:val="666666"/>
                <w:sz w:val="18"/>
              </w:rPr>
              <w:t>Review active validation logs to check if under-represented cohorts or relevant advocacy viewpoints were embedded into design requirements.</w:t>
            </w:r>
          </w:p>
        </w:tc>
      </w:tr>
      <w:tr>
        <w:tc>
          <w:tcPr>
            <w:tcW w:type="dxa" w:w="2160"/>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i w:val="0"/>
                <w:color w:val="333333"/>
                <w:sz w:val="19"/>
              </w:rPr>
              <w:t>Inclusiveness</w:t>
            </w:r>
          </w:p>
        </w:tc>
        <w:tc>
          <w:tcPr>
            <w:tcW w:type="dxa" w:w="2592"/>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Accessibility considerations documented</w:t>
            </w:r>
          </w:p>
        </w:tc>
        <w:tc>
          <w:tcPr>
            <w:tcW w:type="dxa" w:w="1872"/>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val="0"/>
                <w:color w:val="333333"/>
                <w:sz w:val="19"/>
              </w:rPr>
              <w:t>[  ] Pass</w:t>
              <w:br/>
              <w:t>[  ] Flag</w:t>
              <w:br/>
              <w:t>[  ] Fail</w:t>
            </w:r>
          </w:p>
        </w:tc>
        <w:tc>
          <w:tcPr>
            <w:tcW w:type="dxa" w:w="3456"/>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
              <w:rPr>
                <w:rFonts w:ascii="Calibri" w:hAnsi="Calibri"/>
                <w:b w:val="0"/>
                <w:i/>
                <w:color w:val="666666"/>
                <w:sz w:val="18"/>
              </w:rPr>
              <w:t>Audit system user interfaces to ensure compliance with relevant standard rules (e.g., WCAG 2.1 AA benchmarks).</w:t>
            </w:r>
          </w:p>
        </w:tc>
      </w:tr>
    </w:tbl>
    <w:p>
      <w:pPr>
        <w:keepNext/>
        <w:spacing w:before="360" w:after="120"/>
      </w:pPr>
      <w:r>
        <w:rPr>
          <w:rFonts w:ascii="Calibri" w:hAnsi="Calibri"/>
          <w:b/>
          <w:i w:val="0"/>
          <w:color w:val="1B365D"/>
          <w:sz w:val="32"/>
        </w:rPr>
        <w:t>Governance Output &amp; Sign-off Ledger</w:t>
      </w:r>
    </w:p>
    <w:p>
      <w:pPr>
        <w:spacing w:before="120" w:after="240"/>
        <w:ind w:left="360" w:right="360"/>
      </w:pPr>
      <w:r>
        <w:rPr>
          <w:rFonts w:ascii="Calibri" w:hAnsi="Calibri"/>
          <w:b/>
          <w:i w:val="0"/>
          <w:color w:val="5C768D"/>
          <w:sz w:val="20"/>
        </w:rPr>
        <w:t xml:space="preserve">💡 Auditor Instruction: </w:t>
      </w:r>
      <w:r>
        <w:rPr>
          <w:rFonts w:ascii="Calibri" w:hAnsi="Calibri"/>
          <w:b w:val="0"/>
          <w:i/>
          <w:color w:val="666666"/>
          <w:sz w:val="20"/>
        </w:rPr>
        <w:t>This final block aggregates evaluation findings into a single defensible organizational decision. Do not complete this segment until all criteria checks above have been evaluated against technical proof files.</w:t>
      </w:r>
    </w:p>
    <w:p>
      <w:pPr>
        <w:spacing w:after="120" w:line="276" w:lineRule="auto"/>
      </w:pPr>
      <w:r>
        <w:rPr>
          <w:rFonts w:ascii="Calibri" w:hAnsi="Calibri"/>
          <w:b/>
          <w:i w:val="0"/>
          <w:color w:val="333333"/>
          <w:sz w:val="22"/>
        </w:rPr>
        <w:t xml:space="preserve">1. OVERALL COMPLIANCE DECISION: </w:t>
      </w:r>
      <w:r>
        <w:rPr>
          <w:rFonts w:ascii="Calibri" w:hAnsi="Calibri"/>
          <w:b w:val="0"/>
          <w:i w:val="0"/>
          <w:color w:val="333333"/>
          <w:sz w:val="22"/>
        </w:rPr>
        <w:t>Mark the authoritative position resulting from the assessment cycle:</w:t>
      </w:r>
    </w:p>
    <w:p>
      <w:pPr>
        <w:spacing w:after="120" w:line="276" w:lineRule="auto"/>
      </w:pPr>
      <w:r>
        <w:rPr>
          <w:rFonts w:ascii="Calibri" w:hAnsi="Calibri"/>
          <w:b w:val="0"/>
          <w:i w:val="0"/>
          <w:color w:val="333333"/>
          <w:sz w:val="22"/>
        </w:rPr>
        <w:t>[  ] PROCEED  — The framework satisfies all core ethical baselines. Ready for operational production launch.</w:t>
      </w:r>
    </w:p>
    <w:p>
      <w:pPr>
        <w:spacing w:after="120" w:line="276" w:lineRule="auto"/>
      </w:pPr>
      <w:r>
        <w:rPr>
          <w:rFonts w:ascii="Calibri" w:hAnsi="Calibri"/>
          <w:b w:val="0"/>
          <w:i w:val="0"/>
          <w:color w:val="333333"/>
          <w:sz w:val="22"/>
        </w:rPr>
        <w:t>[  ] MITIGATE — Conditional authorization. The pipeline is held at a security gate pending execution of follow-up tickets below.</w:t>
      </w:r>
    </w:p>
    <w:p>
      <w:pPr>
        <w:spacing w:after="120" w:line="276" w:lineRule="auto"/>
      </w:pPr>
      <w:r>
        <w:rPr>
          <w:rFonts w:ascii="Calibri" w:hAnsi="Calibri"/>
          <w:b w:val="0"/>
          <w:i w:val="0"/>
          <w:color w:val="333333"/>
          <w:sz w:val="22"/>
        </w:rPr>
        <w:t>[  ] REJECT   — System contains irremediable ethical, structural, or legal violations. Production deployment revoked.</w:t>
      </w:r>
    </w:p>
    <w:p>
      <w:pPr>
        <w:spacing w:after="120" w:line="276" w:lineRule="auto"/>
      </w:pPr>
      <w:r>
        <w:rPr>
          <w:rFonts w:ascii="Calibri" w:hAnsi="Calibri"/>
          <w:b/>
          <w:i w:val="0"/>
          <w:color w:val="333333"/>
          <w:sz w:val="22"/>
        </w:rPr>
        <w:t xml:space="preserve">2. REQUIRED REMEDIATION ACTIONS: </w:t>
      </w:r>
      <w:r>
        <w:rPr>
          <w:rFonts w:ascii="Calibri" w:hAnsi="Calibri"/>
          <w:b w:val="0"/>
          <w:i w:val="0"/>
          <w:color w:val="333333"/>
          <w:sz w:val="22"/>
        </w:rPr>
        <w:t>Detail at least two explicit tracking adjustments tied directly to any criteria marked as 'Flag' or 'Fail' above.</w:t>
      </w:r>
    </w:p>
    <w:p>
      <w:pPr>
        <w:spacing w:after="240"/>
      </w:pPr>
      <w:r>
        <w:rPr>
          <w:rFonts w:ascii="Calibri" w:hAnsi="Calibri"/>
          <w:b/>
          <w:i w:val="0"/>
          <w:color w:val="333333"/>
          <w:sz w:val="22"/>
        </w:rPr>
        <w:t>• Remediation Ticket #1 ID / Description:</w:t>
        <w:br/>
      </w:r>
      <w:r>
        <w:rPr>
          <w:rFonts w:ascii="Calibri" w:hAnsi="Calibri"/>
          <w:b w:val="0"/>
          <w:i w:val="0"/>
          <w:color w:val="666666"/>
          <w:sz w:val="22"/>
        </w:rPr>
        <w:t>___________________________________________________________________________________________________</w:t>
        <w:br/>
        <w:br/>
      </w:r>
      <w:r>
        <w:rPr>
          <w:rFonts w:ascii="Calibri" w:hAnsi="Calibri"/>
          <w:b/>
          <w:i w:val="0"/>
          <w:color w:val="333333"/>
          <w:sz w:val="22"/>
        </w:rPr>
        <w:t>• Remediation Ticket #2 ID / Description:</w:t>
        <w:br/>
      </w:r>
      <w:r>
        <w:rPr>
          <w:rFonts w:ascii="Calibri" w:hAnsi="Calibri"/>
          <w:b w:val="0"/>
          <w:i w:val="0"/>
          <w:color w:val="666666"/>
          <w:sz w:val="22"/>
        </w:rPr>
        <w:t>___________________________________________________________________________________________________</w:t>
      </w:r>
    </w:p>
    <w:p>
      <w:pPr>
        <w:spacing w:after="120" w:line="276" w:lineRule="auto"/>
      </w:pPr>
      <w:r>
        <w:rPr>
          <w:rFonts w:ascii="Calibri" w:hAnsi="Calibri"/>
          <w:b/>
          <w:i w:val="0"/>
          <w:color w:val="333333"/>
          <w:sz w:val="22"/>
        </w:rPr>
        <w:t xml:space="preserve">3. SYSTEM MONITORING REQUIREMENT STATEMENT: </w:t>
      </w:r>
      <w:r>
        <w:rPr>
          <w:rFonts w:ascii="Calibri" w:hAnsi="Calibri"/>
          <w:b w:val="0"/>
          <w:i w:val="0"/>
          <w:color w:val="333333"/>
          <w:sz w:val="22"/>
        </w:rPr>
        <w:t>Document the ongoing tracking framework designed to prevent model drift, metric deviations, or compliance leaks over time.</w:t>
      </w:r>
    </w:p>
    <w:p>
      <w:pPr>
        <w:spacing w:after="480"/>
      </w:pPr>
      <w:r>
        <w:rPr>
          <w:rFonts w:ascii="Calibri" w:hAnsi="Calibri"/>
          <w:b w:val="0"/>
          <w:i/>
          <w:color w:val="666666"/>
          <w:sz w:val="22"/>
        </w:rPr>
        <w:t>[ Define specific logging frequencies, metric drift thresholds (e.g., max 5% divergence limits), and designated oversight evaluation windows below ]</w:t>
        <w:br/>
      </w:r>
      <w:r>
        <w:rPr>
          <w:rFonts w:ascii="Calibri" w:hAnsi="Calibri"/>
          <w:b w:val="0"/>
          <w:i w:val="0"/>
          <w:color w:val="666666"/>
          <w:sz w:val="22"/>
        </w:rPr>
        <w:t>___________________________________________________________________________________________________</w:t>
        <w:br/>
      </w:r>
      <w:r>
        <w:rPr>
          <w:rFonts w:ascii="Calibri" w:hAnsi="Calibri"/>
          <w:b w:val="0"/>
          <w:i w:val="0"/>
          <w:color w:val="666666"/>
          <w:sz w:val="22"/>
        </w:rPr>
        <w:t>___________________________________________________________________________________________________</w:t>
      </w:r>
    </w:p>
    <w:p>
      <w:pPr>
        <w:keepNext/>
        <w:spacing w:before="240" w:after="80"/>
      </w:pPr>
      <w:r>
        <w:rPr>
          <w:rFonts w:ascii="Calibri" w:hAnsi="Calibri"/>
          <w:b/>
          <w:i w:val="0"/>
          <w:color w:val="5C768D"/>
          <w:sz w:val="26"/>
        </w:rPr>
        <w:t>Authorization &amp; Formal Sign-Off</w:t>
      </w:r>
    </w:p>
    <w:tbl>
      <w:tblPr>
        <w:tblW w:type="auto" w:w="0"/>
        <w:jc w:val="center"/>
        <w:tblLook w:firstColumn="1" w:firstRow="1" w:lastColumn="0" w:lastRow="0" w:noHBand="0" w:noVBand="1" w:val="04A0"/>
      </w:tblPr>
      <w:tblGrid>
        <w:gridCol w:w="4680"/>
        <w:gridCol w:w="4680"/>
      </w:tblGrid>
      <w:tr>
        <w:tc>
          <w:tcPr>
            <w:tcW w:type="dxa" w:w="4680"/>
          </w:tcPr>
          <w:p>
            <w:pPr>
              <w:spacing w:before="80" w:after="80" w:line="276" w:lineRule="auto"/>
              <w:jc w:val="left"/>
            </w:pPr>
            <w:r/>
            <w:r>
              <w:rPr>
                <w:rFonts w:ascii="Calibri" w:hAnsi="Calibri"/>
                <w:b/>
                <w:i w:val="0"/>
                <w:color w:val="333333"/>
                <w:sz w:val="20"/>
              </w:rPr>
              <w:t>Lead Evaluator Signature:</w:t>
              <w:br/>
              <w:br/>
              <w:br/>
              <w:t>___________________________</w:t>
            </w:r>
          </w:p>
        </w:tc>
        <w:tc>
          <w:tcPr>
            <w:tcW w:type="dxa" w:w="4680"/>
          </w:tcPr>
          <w:p>
            <w:pPr>
              <w:spacing w:before="80" w:after="80" w:line="276" w:lineRule="auto"/>
              <w:jc w:val="left"/>
            </w:pPr>
            <w:r/>
            <w:r>
              <w:rPr>
                <w:rFonts w:ascii="Calibri" w:hAnsi="Calibri"/>
                <w:b/>
                <w:i w:val="0"/>
                <w:color w:val="333333"/>
                <w:sz w:val="20"/>
              </w:rPr>
              <w:t>Review Date:</w:t>
              <w:br/>
              <w:br/>
              <w:br/>
              <w:t>___________________________</w:t>
            </w:r>
          </w:p>
        </w:tc>
      </w:tr>
      <w:tr>
        <w:tc>
          <w:tcPr>
            <w:tcW w:type="dxa" w:w="4680"/>
          </w:tcPr>
          <w:p>
            <w:pPr>
              <w:spacing w:before="80" w:after="80" w:line="276" w:lineRule="auto"/>
              <w:jc w:val="left"/>
            </w:pPr>
            <w:r/>
            <w:r>
              <w:rPr>
                <w:rFonts w:ascii="Calibri" w:hAnsi="Calibri"/>
                <w:b/>
                <w:i w:val="0"/>
                <w:color w:val="333333"/>
                <w:sz w:val="20"/>
              </w:rPr>
              <w:t>Governing Officer Endorsement:</w:t>
              <w:br/>
              <w:br/>
              <w:br/>
              <w:t>___________________________</w:t>
            </w:r>
          </w:p>
        </w:tc>
        <w:tc>
          <w:tcPr>
            <w:tcW w:type="dxa" w:w="4680"/>
          </w:tcPr>
          <w:p>
            <w:pPr>
              <w:spacing w:before="80" w:after="80" w:line="276" w:lineRule="auto"/>
              <w:jc w:val="left"/>
            </w:pPr>
            <w:r/>
            <w:r>
              <w:rPr>
                <w:rFonts w:ascii="Calibri" w:hAnsi="Calibri"/>
                <w:b/>
                <w:i w:val="0"/>
                <w:color w:val="333333"/>
                <w:sz w:val="20"/>
              </w:rPr>
              <w:t>Authorization Status / Title:</w:t>
              <w:br/>
              <w:br/>
              <w:br/>
              <w:t>___________________________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