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930" w:hRule="atLeast"/>
          <w:tblHeader w:val="0"/>
        </w:trPr>
        <w:tc>
          <w:tcPr>
            <w:tcBorders>
              <w:top w:color="000000" w:space="0" w:sz="0" w:val="nil"/>
              <w:left w:color="000000" w:space="0" w:sz="0" w:val="nil"/>
              <w:bottom w:color="e5e7eb" w:space="0" w:sz="5" w:val="single"/>
              <w:right w:color="000000" w:space="0" w:sz="0" w:val="nil"/>
            </w:tcBorders>
            <w:shd w:fill="f3f4f6" w:val="clear"/>
            <w:tcMar>
              <w:top w:w="180.0" w:type="dxa"/>
              <w:left w:w="200.0" w:type="dxa"/>
              <w:bottom w:w="180.0" w:type="dxa"/>
              <w:right w:w="200.0" w:type="dxa"/>
            </w:tcMar>
            <w:vAlign w:val="top"/>
          </w:tcPr>
          <w:p w:rsidR="00000000" w:rsidDel="00000000" w:rsidP="00000000" w:rsidRDefault="00000000" w:rsidRPr="00000000" w14:paraId="00000002">
            <w:pPr>
              <w:spacing w:after="200" w:lineRule="auto"/>
              <w:rPr>
                <w:b w:val="1"/>
                <w:bCs w:val="1"/>
                <w:color w:val="1f2937"/>
                <w:sz w:val="32"/>
                <w:szCs w:val="32"/>
              </w:rPr>
            </w:pPr>
            <w:r w:rsidDel="00000000" w:rsidR="00000000" w:rsidRPr="00000000">
              <w:rPr>
                <w:b w:val="1"/>
                <w:bCs w:val="1"/>
                <w:color w:val="1f2937"/>
                <w:sz w:val="32"/>
                <w:szCs w:val="32"/>
                <w:rtl w:val="0"/>
              </w:rPr>
              <w:t xml:space="preserve">Bias-Scan Report</w:t>
            </w:r>
          </w:p>
        </w:tc>
      </w:tr>
    </w:tbl>
    <w:p w:rsidR="00000000" w:rsidDel="00000000" w:rsidP="00000000" w:rsidRDefault="00000000" w:rsidRPr="00000000" w14:paraId="00000003">
      <w:pPr>
        <w:spacing w:after="240" w:lineRule="auto"/>
        <w:rPr/>
      </w:pPr>
      <w:r w:rsidDel="00000000" w:rsidR="00000000" w:rsidRPr="00000000">
        <w:rPr>
          <w:rtl w:val="0"/>
        </w:rPr>
        <w:t xml:space="preserve"> </w:t>
      </w:r>
    </w:p>
    <w:p w:rsidR="00000000" w:rsidDel="00000000" w:rsidP="00000000" w:rsidRDefault="00000000" w:rsidRPr="00000000" w14:paraId="00000004">
      <w:pPr>
        <w:spacing w:after="80" w:lineRule="auto"/>
        <w:rPr>
          <w:b w:val="1"/>
          <w:bCs w:val="1"/>
          <w:color w:val="374151"/>
        </w:rPr>
      </w:pPr>
      <w:r w:rsidDel="00000000" w:rsidR="00000000" w:rsidRPr="00000000">
        <w:rPr>
          <w:b w:val="1"/>
          <w:bCs w:val="1"/>
          <w:color w:val="374151"/>
          <w:rtl w:val="0"/>
        </w:rPr>
        <w:t xml:space="preserve">Affected System</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870" w:hRule="atLeast"/>
          <w:tblHeader w:val="0"/>
        </w:trPr>
        <w:tc>
          <w:tcPr>
            <w:tcBorders>
              <w:top w:color="d1d5db" w:space="0" w:sz="5" w:val="single"/>
              <w:left w:color="d1d5db" w:space="0" w:sz="5" w:val="single"/>
              <w:bottom w:color="d1d5db" w:space="0" w:sz="5" w:val="single"/>
              <w:right w:color="d1d5db" w:space="0" w:sz="5" w:val="single"/>
            </w:tcBorders>
            <w:shd w:fill="fafafa" w:val="clear"/>
            <w:tcMar>
              <w:top w:w="100.0" w:type="dxa"/>
              <w:left w:w="160.0" w:type="dxa"/>
              <w:bottom w:w="100.0" w:type="dxa"/>
              <w:right w:w="160.0" w:type="dxa"/>
            </w:tcMar>
            <w:vAlign w:val="top"/>
          </w:tcPr>
          <w:p w:rsidR="00000000" w:rsidDel="00000000" w:rsidP="00000000" w:rsidRDefault="00000000" w:rsidRPr="00000000" w14:paraId="00000005">
            <w:pPr>
              <w:spacing w:after="200" w:lineRule="auto"/>
              <w:rPr>
                <w:color w:val="111827"/>
              </w:rPr>
            </w:pPr>
            <w:r w:rsidDel="00000000" w:rsidR="00000000" w:rsidRPr="00000000">
              <w:rPr>
                <w:color w:val="111827"/>
                <w:rtl w:val="0"/>
              </w:rPr>
              <w:t xml:space="preserve">Patient Triage Recommendation Model (Deployment Environment: Hospital / Emergency Department Production)</w:t>
            </w:r>
          </w:p>
        </w:tc>
      </w:tr>
    </w:tbl>
    <w:p w:rsidR="00000000" w:rsidDel="00000000" w:rsidP="00000000" w:rsidRDefault="00000000" w:rsidRPr="00000000" w14:paraId="00000006">
      <w:pPr>
        <w:spacing w:after="160" w:lineRule="auto"/>
        <w:rPr/>
      </w:pPr>
      <w:r w:rsidDel="00000000" w:rsidR="00000000" w:rsidRPr="00000000">
        <w:rPr>
          <w:rtl w:val="0"/>
        </w:rPr>
        <w:t xml:space="preserve"> </w:t>
      </w:r>
    </w:p>
    <w:p w:rsidR="00000000" w:rsidDel="00000000" w:rsidP="00000000" w:rsidRDefault="00000000" w:rsidRPr="00000000" w14:paraId="00000007">
      <w:pPr>
        <w:spacing w:after="200" w:lineRule="auto"/>
        <w:rPr>
          <w:b w:val="1"/>
          <w:bCs w:val="1"/>
          <w:color w:val="374151"/>
        </w:rPr>
      </w:pPr>
      <w:r w:rsidDel="00000000" w:rsidR="00000000" w:rsidRPr="00000000">
        <w:rPr>
          <w:b w:val="1"/>
          <w:bCs w:val="1"/>
          <w:color w:val="374151"/>
          <w:rtl w:val="0"/>
        </w:rPr>
        <w:t xml:space="preserve">Bias Metric Findings</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675" w:hRule="atLeast"/>
          <w:tblHeader w:val="0"/>
        </w:trPr>
        <w:tc>
          <w:tcPr>
            <w:tcBorders>
              <w:top w:color="feb2b2" w:space="0" w:sz="5" w:val="single"/>
              <w:left w:color="feb2b2" w:space="0" w:sz="5" w:val="single"/>
              <w:bottom w:color="feb2b2" w:space="0" w:sz="5" w:val="single"/>
              <w:right w:color="feb2b2" w:space="0" w:sz="5" w:val="single"/>
            </w:tcBorders>
            <w:shd w:fill="fff5f5" w:val="clear"/>
            <w:tcMar>
              <w:top w:w="120.0" w:type="dxa"/>
              <w:left w:w="160.0" w:type="dxa"/>
              <w:bottom w:w="120.0" w:type="dxa"/>
              <w:right w:w="160.0" w:type="dxa"/>
            </w:tcMar>
            <w:vAlign w:val="top"/>
          </w:tcPr>
          <w:p w:rsidR="00000000" w:rsidDel="00000000" w:rsidP="00000000" w:rsidRDefault="00000000" w:rsidRPr="00000000" w14:paraId="00000008">
            <w:pPr>
              <w:spacing w:after="200" w:lineRule="auto"/>
              <w:rPr>
                <w:color w:val="742a2a"/>
              </w:rPr>
            </w:pPr>
            <w:r w:rsidDel="00000000" w:rsidR="00000000" w:rsidRPr="00000000">
              <w:rPr>
                <w:b w:val="1"/>
                <w:bCs w:val="1"/>
                <w:color w:val="9b2c2c"/>
                <w:rtl w:val="0"/>
              </w:rPr>
              <w:t xml:space="preserve">The following metrics have breached the threshold and trigger a Priority 1 (P1) Escalation:</w:t>
              <w:br w:type="textWrapping"/>
              <w:br w:type="textWrapping"/>
              <w:t xml:space="preserve"> </w:t>
            </w:r>
            <w:r w:rsidDel="00000000" w:rsidR="00000000" w:rsidRPr="00000000">
              <w:rPr>
                <w:rFonts w:ascii="Arial Unicode MS" w:cs="Arial Unicode MS" w:eastAsia="Arial Unicode MS" w:hAnsi="Arial Unicode MS"/>
                <w:color w:val="742a2a"/>
                <w:rtl w:val="0"/>
              </w:rPr>
              <w:t xml:space="preserve">• Disparate Impact Ratio (Age Group: 45–60 vs. 25–34):</w:t>
              <w:br w:type="textWrapping"/>
              <w:t xml:space="preserve">    - Recorded Value: 0.68 (Threshold: ≥ 0.80)</w:t>
              <w:br w:type="textWrapping"/>
              <w:t xml:space="preserve">    - Escalation Rationale: Value is strictly below the P1 critical floor of 0.70.</w:t>
              <w:br w:type="textWrapping"/>
              <w:br w:type="textWrapping"/>
              <w:t xml:space="preserve"> • False Negative Rate Disparity (Age Group: 45–60 vs. 25–34):</w:t>
              <w:br w:type="textWrapping"/>
              <w:t xml:space="preserve">    - Recorded Value: 0.13 (Threshold: ≤ 0.05)</w:t>
              <w:br w:type="textWrapping"/>
              <w:t xml:space="preserve">    - Escalation Rationale: Disparity value exceeds the maximum allowable P1 threshold variance of 0.10.</w:t>
              <w:br w:type="textWrapping"/>
              <w:br w:type="textWrapping"/>
              <w:t xml:space="preserve"> • Demographic Parity Difference (Age Group: 45–60 vs. 25–34):</w:t>
              <w:br w:type="textWrapping"/>
              <w:t xml:space="preserve">    - Recorded Value: 0.12 (Threshold: ≤ 0.05)</w:t>
              <w:br w:type="textWrapping"/>
              <w:t xml:space="preserve">    - Escalation Rationale: Disparity exceeds the maximum allowable P1 threshold variance of 0.10.</w:t>
            </w:r>
          </w:p>
        </w:tc>
      </w:tr>
    </w:tbl>
    <w:p w:rsidR="00000000" w:rsidDel="00000000" w:rsidP="00000000" w:rsidRDefault="00000000" w:rsidRPr="00000000" w14:paraId="00000009">
      <w:pPr>
        <w:spacing w:after="240" w:lineRule="auto"/>
        <w:rPr/>
      </w:pPr>
      <w:r w:rsidDel="00000000" w:rsidR="00000000" w:rsidRPr="00000000">
        <w:rPr>
          <w:rtl w:val="0"/>
        </w:rPr>
        <w:t xml:space="preserve"> </w:t>
      </w:r>
    </w:p>
    <w:p w:rsidR="00000000" w:rsidDel="00000000" w:rsidP="00000000" w:rsidRDefault="00000000" w:rsidRPr="00000000" w14:paraId="0000000A">
      <w:pPr>
        <w:spacing w:after="80" w:lineRule="auto"/>
        <w:rPr>
          <w:b w:val="1"/>
          <w:bCs w:val="1"/>
          <w:color w:val="374151"/>
        </w:rPr>
      </w:pPr>
      <w:r w:rsidDel="00000000" w:rsidR="00000000" w:rsidRPr="00000000">
        <w:rPr>
          <w:b w:val="1"/>
          <w:bCs w:val="1"/>
          <w:color w:val="374151"/>
          <w:rtl w:val="0"/>
        </w:rPr>
        <w:t xml:space="preserve">Impacted Demographic Attribute</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645" w:hRule="atLeast"/>
          <w:tblHeader w:val="0"/>
        </w:trPr>
        <w:tc>
          <w:tcPr>
            <w:tcBorders>
              <w:top w:color="d1d5db" w:space="0" w:sz="5" w:val="single"/>
              <w:left w:color="d1d5db" w:space="0" w:sz="5" w:val="single"/>
              <w:bottom w:color="d1d5db" w:space="0" w:sz="5" w:val="single"/>
              <w:right w:color="d1d5db" w:space="0" w:sz="5" w:val="single"/>
            </w:tcBorders>
            <w:shd w:fill="fafafa" w:val="clear"/>
            <w:tcMar>
              <w:top w:w="100.0" w:type="dxa"/>
              <w:left w:w="160.0" w:type="dxa"/>
              <w:bottom w:w="100.0" w:type="dxa"/>
              <w:right w:w="160.0" w:type="dxa"/>
            </w:tcMar>
            <w:vAlign w:val="top"/>
          </w:tcPr>
          <w:p w:rsidR="00000000" w:rsidDel="00000000" w:rsidP="00000000" w:rsidRDefault="00000000" w:rsidRPr="00000000" w14:paraId="0000000B">
            <w:pPr>
              <w:spacing w:after="200" w:lineRule="auto"/>
              <w:rPr>
                <w:color w:val="111827"/>
              </w:rPr>
            </w:pPr>
            <w:r w:rsidDel="00000000" w:rsidR="00000000" w:rsidRPr="00000000">
              <w:rPr>
                <w:color w:val="111827"/>
                <w:rtl w:val="0"/>
              </w:rPr>
              <w:t xml:space="preserve">Age Group (45–60 vs. 25–34)</w:t>
            </w:r>
          </w:p>
        </w:tc>
      </w:tr>
    </w:tbl>
    <w:p w:rsidR="00000000" w:rsidDel="00000000" w:rsidP="00000000" w:rsidRDefault="00000000" w:rsidRPr="00000000" w14:paraId="0000000C">
      <w:pPr>
        <w:spacing w:after="160" w:lineRule="auto"/>
        <w:rPr/>
      </w:pPr>
      <w:r w:rsidDel="00000000" w:rsidR="00000000" w:rsidRPr="00000000">
        <w:rPr>
          <w:rtl w:val="0"/>
        </w:rPr>
        <w:t xml:space="preserve"> </w:t>
      </w:r>
    </w:p>
    <w:p w:rsidR="00000000" w:rsidDel="00000000" w:rsidP="00000000" w:rsidRDefault="00000000" w:rsidRPr="00000000" w14:paraId="0000000D">
      <w:pPr>
        <w:spacing w:after="80" w:lineRule="auto"/>
        <w:rPr>
          <w:b w:val="1"/>
          <w:bCs w:val="1"/>
          <w:color w:val="374151"/>
        </w:rPr>
      </w:pPr>
      <w:r w:rsidDel="00000000" w:rsidR="00000000" w:rsidRPr="00000000">
        <w:rPr>
          <w:b w:val="1"/>
          <w:bCs w:val="1"/>
          <w:color w:val="374151"/>
          <w:rtl w:val="0"/>
        </w:rPr>
        <w:t xml:space="preserve">Business &amp; Clinical Impact Assessment</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025" w:hRule="atLeast"/>
          <w:tblHeader w:val="0"/>
        </w:trPr>
        <w:tc>
          <w:tcPr>
            <w:tcBorders>
              <w:top w:color="d1d5db" w:space="0" w:sz="5" w:val="single"/>
              <w:left w:color="d1d5db" w:space="0" w:sz="5" w:val="single"/>
              <w:bottom w:color="d1d5db" w:space="0" w:sz="5" w:val="single"/>
              <w:right w:color="d1d5db" w:space="0" w:sz="5" w:val="single"/>
            </w:tcBorders>
            <w:shd w:fill="fafafa" w:val="clear"/>
            <w:tcMar>
              <w:top w:w="100.0" w:type="dxa"/>
              <w:left w:w="160.0" w:type="dxa"/>
              <w:bottom w:w="100.0" w:type="dxa"/>
              <w:right w:w="160.0" w:type="dxa"/>
            </w:tcMar>
            <w:vAlign w:val="top"/>
          </w:tcPr>
          <w:p w:rsidR="00000000" w:rsidDel="00000000" w:rsidP="00000000" w:rsidRDefault="00000000" w:rsidRPr="00000000" w14:paraId="0000000E">
            <w:pPr>
              <w:spacing w:after="200" w:lineRule="auto"/>
              <w:rPr>
                <w:color w:val="111827"/>
              </w:rPr>
            </w:pPr>
            <w:r w:rsidDel="00000000" w:rsidR="00000000" w:rsidRPr="00000000">
              <w:rPr>
                <w:color w:val="111827"/>
                <w:rtl w:val="0"/>
              </w:rPr>
              <w:t xml:space="preserve">Potential Harm: Systematic deprioritization and delayed clinical attention for older and middle-aged patients (Age Group 45–60) in emergency triage settings, which could lead to severe medical deterioration, higher mortality rates, and delayed critical care.</w:t>
              <w:br w:type="textWrapping"/>
              <w:br w:type="textWrapping"/>
              <w:t xml:space="preserve"> Regulatory, Ethical &amp; Legal Exposure: Significant violation of patient care standards, clinical ethics, and healthcare discrimination laws (such as age discrimination regulations in medical triage and federally funded healthcare guidelines).</w:t>
            </w:r>
          </w:p>
        </w:tc>
      </w:tr>
    </w:tbl>
    <w:p w:rsidR="00000000" w:rsidDel="00000000" w:rsidP="00000000" w:rsidRDefault="00000000" w:rsidRPr="00000000" w14:paraId="0000000F">
      <w:pPr>
        <w:spacing w:after="160" w:lineRule="auto"/>
        <w:rPr/>
      </w:pPr>
      <w:r w:rsidDel="00000000" w:rsidR="00000000" w:rsidRPr="00000000">
        <w:rPr>
          <w:rtl w:val="0"/>
        </w:rPr>
        <w:t xml:space="preserve"> </w:t>
      </w:r>
    </w:p>
    <w:p w:rsidR="00000000" w:rsidDel="00000000" w:rsidP="00000000" w:rsidRDefault="00000000" w:rsidRPr="00000000" w14:paraId="00000010">
      <w:pPr>
        <w:pStyle w:val="Heading2"/>
        <w:keepNext w:val="0"/>
        <w:keepLines w:val="0"/>
        <w:spacing w:after="80" w:lineRule="auto"/>
        <w:rPr>
          <w:b w:val="1"/>
          <w:bCs w:val="1"/>
          <w:color w:val="1f2937"/>
          <w:sz w:val="28"/>
          <w:szCs w:val="28"/>
        </w:rPr>
      </w:pPr>
      <w:bookmarkStart w:colFirst="0" w:colLast="0" w:name="_l35cl5xv7b9u" w:id="0"/>
      <w:bookmarkEnd w:id="0"/>
      <w:r w:rsidDel="00000000" w:rsidR="00000000" w:rsidRPr="00000000">
        <w:rPr>
          <w:b w:val="1"/>
          <w:bCs w:val="1"/>
          <w:color w:val="1f2937"/>
          <w:sz w:val="28"/>
          <w:szCs w:val="28"/>
          <w:rtl w:val="0"/>
        </w:rPr>
        <w:t xml:space="preserve">Bias Mitigation &amp; Evaluation Strategy</w:t>
      </w:r>
    </w:p>
    <w:p w:rsidR="00000000" w:rsidDel="00000000" w:rsidP="00000000" w:rsidRDefault="00000000" w:rsidRPr="00000000" w14:paraId="00000011">
      <w:pPr>
        <w:spacing w:after="120" w:lineRule="auto"/>
        <w:rPr/>
      </w:pPr>
      <w:r w:rsidDel="00000000" w:rsidR="00000000" w:rsidRPr="00000000">
        <w:rPr>
          <w:rtl w:val="0"/>
        </w:rPr>
        <w:t xml:space="preserve"> </w:t>
      </w:r>
    </w:p>
    <w:p w:rsidR="00000000" w:rsidDel="00000000" w:rsidP="00000000" w:rsidRDefault="00000000" w:rsidRPr="00000000" w14:paraId="00000012">
      <w:pPr>
        <w:spacing w:after="200" w:lineRule="auto"/>
        <w:rPr/>
      </w:pPr>
      <w:r w:rsidDel="00000000" w:rsidR="00000000" w:rsidRPr="00000000">
        <w:rPr>
          <w:b w:val="1"/>
          <w:bCs w:val="1"/>
          <w:rtl w:val="0"/>
        </w:rPr>
        <w:t xml:space="preserve">Preferred Mitigation Strategy: Inprocessing Adversarial Debiasing &amp; Objective Clinical Metric Constraints</w:t>
        <w:br w:type="textWrapping"/>
        <w:t xml:space="preserve"> </w:t>
      </w:r>
      <w:r w:rsidDel="00000000" w:rsidR="00000000" w:rsidRPr="00000000">
        <w:rPr>
          <w:rtl w:val="0"/>
        </w:rPr>
        <w:t xml:space="preserve">Justification across four core operational evaluation dimensions:</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0284c7" w:val="clear"/>
            <w:tcMar>
              <w:top w:w="100.0" w:type="dxa"/>
              <w:left w:w="120.0" w:type="dxa"/>
              <w:bottom w:w="100.0" w:type="dxa"/>
              <w:right w:w="120.0" w:type="dxa"/>
            </w:tcMar>
            <w:vAlign w:val="top"/>
          </w:tcPr>
          <w:p w:rsidR="00000000" w:rsidDel="00000000" w:rsidP="00000000" w:rsidRDefault="00000000" w:rsidRPr="00000000" w14:paraId="00000013">
            <w:pPr>
              <w:spacing w:after="200" w:lineRule="auto"/>
              <w:rPr>
                <w:b w:val="1"/>
                <w:bCs w:val="1"/>
                <w:color w:val="ffffff"/>
              </w:rPr>
            </w:pPr>
            <w:r w:rsidDel="00000000" w:rsidR="00000000" w:rsidRPr="00000000">
              <w:rPr>
                <w:b w:val="1"/>
                <w:bCs w:val="1"/>
                <w:color w:val="ffffff"/>
                <w:rtl w:val="0"/>
              </w:rPr>
              <w:t xml:space="preserve">Evaluation Dimension</w:t>
            </w:r>
          </w:p>
        </w:tc>
        <w:tc>
          <w:tcPr>
            <w:tcBorders>
              <w:top w:color="000000" w:space="0" w:sz="0" w:val="nil"/>
              <w:left w:color="000000" w:space="0" w:sz="0" w:val="nil"/>
              <w:bottom w:color="000000" w:space="0" w:sz="0" w:val="nil"/>
              <w:right w:color="000000" w:space="0" w:sz="0" w:val="nil"/>
            </w:tcBorders>
            <w:shd w:fill="0284c7" w:val="clear"/>
            <w:tcMar>
              <w:top w:w="100.0" w:type="dxa"/>
              <w:left w:w="120.0" w:type="dxa"/>
              <w:bottom w:w="100.0" w:type="dxa"/>
              <w:right w:w="120.0" w:type="dxa"/>
            </w:tcMar>
            <w:vAlign w:val="top"/>
          </w:tcPr>
          <w:p w:rsidR="00000000" w:rsidDel="00000000" w:rsidP="00000000" w:rsidRDefault="00000000" w:rsidRPr="00000000" w14:paraId="00000014">
            <w:pPr>
              <w:spacing w:after="200" w:lineRule="auto"/>
              <w:rPr>
                <w:b w:val="1"/>
                <w:bCs w:val="1"/>
                <w:color w:val="ffffff"/>
              </w:rPr>
            </w:pPr>
            <w:r w:rsidDel="00000000" w:rsidR="00000000" w:rsidRPr="00000000">
              <w:rPr>
                <w:b w:val="1"/>
                <w:bCs w:val="1"/>
                <w:color w:val="ffffff"/>
                <w:rtl w:val="0"/>
              </w:rPr>
              <w:t xml:space="preserve">Justification &amp; Plan</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9fafb" w:val="clear"/>
            <w:tcMar>
              <w:top w:w="80.0" w:type="dxa"/>
              <w:left w:w="100.0" w:type="dxa"/>
              <w:bottom w:w="80.0" w:type="dxa"/>
              <w:right w:w="100.0" w:type="dxa"/>
            </w:tcMar>
            <w:vAlign w:val="top"/>
          </w:tcPr>
          <w:p w:rsidR="00000000" w:rsidDel="00000000" w:rsidP="00000000" w:rsidRDefault="00000000" w:rsidRPr="00000000" w14:paraId="00000015">
            <w:pPr>
              <w:spacing w:after="200" w:lineRule="auto"/>
              <w:rPr>
                <w:b w:val="1"/>
                <w:bCs w:val="1"/>
                <w:color w:val="374151"/>
                <w:sz w:val="19"/>
                <w:szCs w:val="19"/>
              </w:rPr>
            </w:pPr>
            <w:r w:rsidDel="00000000" w:rsidR="00000000" w:rsidRPr="00000000">
              <w:rPr>
                <w:b w:val="1"/>
                <w:bCs w:val="1"/>
                <w:color w:val="374151"/>
                <w:sz w:val="19"/>
                <w:szCs w:val="19"/>
                <w:rtl w:val="0"/>
              </w:rPr>
              <w:t xml:space="preserve">Ethical Effectiveness</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016">
            <w:pPr>
              <w:spacing w:after="200" w:lineRule="auto"/>
              <w:rPr>
                <w:sz w:val="19"/>
                <w:szCs w:val="19"/>
              </w:rPr>
            </w:pPr>
            <w:r w:rsidDel="00000000" w:rsidR="00000000" w:rsidRPr="00000000">
              <w:rPr>
                <w:sz w:val="19"/>
                <w:szCs w:val="19"/>
                <w:rtl w:val="0"/>
              </w:rPr>
              <w:t xml:space="preserve">Directly addresses clinical triage bias by penalizing discriminatory prioritization patterns during model optimization. This directly reduces false-negative and demographic disparities to protect vulnerable older age groups.</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9fafb" w:val="clear"/>
            <w:tcMar>
              <w:top w:w="80.0" w:type="dxa"/>
              <w:left w:w="100.0" w:type="dxa"/>
              <w:bottom w:w="80.0" w:type="dxa"/>
              <w:right w:w="100.0" w:type="dxa"/>
            </w:tcMar>
            <w:vAlign w:val="top"/>
          </w:tcPr>
          <w:p w:rsidR="00000000" w:rsidDel="00000000" w:rsidP="00000000" w:rsidRDefault="00000000" w:rsidRPr="00000000" w14:paraId="00000017">
            <w:pPr>
              <w:spacing w:after="200" w:lineRule="auto"/>
              <w:rPr>
                <w:b w:val="1"/>
                <w:bCs w:val="1"/>
                <w:color w:val="374151"/>
                <w:sz w:val="19"/>
                <w:szCs w:val="19"/>
              </w:rPr>
            </w:pPr>
            <w:r w:rsidDel="00000000" w:rsidR="00000000" w:rsidRPr="00000000">
              <w:rPr>
                <w:b w:val="1"/>
                <w:bCs w:val="1"/>
                <w:color w:val="374151"/>
                <w:sz w:val="19"/>
                <w:szCs w:val="19"/>
                <w:rtl w:val="0"/>
              </w:rPr>
              <w:t xml:space="preserve">Operational Feasibility</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018">
            <w:pPr>
              <w:spacing w:after="200" w:lineRule="auto"/>
              <w:rPr>
                <w:sz w:val="19"/>
                <w:szCs w:val="19"/>
              </w:rPr>
            </w:pPr>
            <w:r w:rsidDel="00000000" w:rsidR="00000000" w:rsidRPr="00000000">
              <w:rPr>
                <w:sz w:val="19"/>
                <w:szCs w:val="19"/>
                <w:rtl w:val="0"/>
              </w:rPr>
              <w:t xml:space="preserve">Can be integrated directly into our hospital network's secure clinical ML pipelines. Utilizing robust Python debiasing packages prevents the need to rebuild integrated Electronic Health Record (EHR) databases.</w:t>
            </w:r>
          </w:p>
        </w:tc>
      </w:tr>
      <w:tr>
        <w:trPr>
          <w:cantSplit w:val="0"/>
          <w:trHeight w:val="1455" w:hRule="atLeast"/>
          <w:tblHeader w:val="0"/>
        </w:trPr>
        <w:tc>
          <w:tcPr>
            <w:tcBorders>
              <w:top w:color="000000" w:space="0" w:sz="0" w:val="nil"/>
              <w:left w:color="000000" w:space="0" w:sz="0" w:val="nil"/>
              <w:bottom w:color="000000" w:space="0" w:sz="0" w:val="nil"/>
              <w:right w:color="000000" w:space="0" w:sz="0" w:val="nil"/>
            </w:tcBorders>
            <w:shd w:fill="f9fafb" w:val="clear"/>
            <w:tcMar>
              <w:top w:w="80.0" w:type="dxa"/>
              <w:left w:w="100.0" w:type="dxa"/>
              <w:bottom w:w="80.0" w:type="dxa"/>
              <w:right w:w="100.0" w:type="dxa"/>
            </w:tcMar>
            <w:vAlign w:val="top"/>
          </w:tcPr>
          <w:p w:rsidR="00000000" w:rsidDel="00000000" w:rsidP="00000000" w:rsidRDefault="00000000" w:rsidRPr="00000000" w14:paraId="00000019">
            <w:pPr>
              <w:spacing w:after="200" w:lineRule="auto"/>
              <w:rPr>
                <w:b w:val="1"/>
                <w:bCs w:val="1"/>
                <w:color w:val="374151"/>
                <w:sz w:val="19"/>
                <w:szCs w:val="19"/>
              </w:rPr>
            </w:pPr>
            <w:r w:rsidDel="00000000" w:rsidR="00000000" w:rsidRPr="00000000">
              <w:rPr>
                <w:b w:val="1"/>
                <w:bCs w:val="1"/>
                <w:color w:val="374151"/>
                <w:sz w:val="19"/>
                <w:szCs w:val="19"/>
                <w:rtl w:val="0"/>
              </w:rPr>
              <w:t xml:space="preserve">Reversibility</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01A">
            <w:pPr>
              <w:spacing w:after="200" w:lineRule="auto"/>
              <w:rPr>
                <w:sz w:val="19"/>
                <w:szCs w:val="19"/>
              </w:rPr>
            </w:pPr>
            <w:r w:rsidDel="00000000" w:rsidR="00000000" w:rsidRPr="00000000">
              <w:rPr>
                <w:sz w:val="19"/>
                <w:szCs w:val="19"/>
                <w:rtl w:val="0"/>
              </w:rPr>
              <w:t xml:space="preserve">High flexibility. Retrained clinical model checkpoints are version-controlled, allowing immediate rollback to standard clinical baseline rules if any prediction degradation or clinical safety anomalies occur.</w:t>
            </w:r>
          </w:p>
        </w:tc>
      </w:tr>
      <w:tr>
        <w:trPr>
          <w:cantSplit w:val="0"/>
          <w:trHeight w:val="1665" w:hRule="atLeast"/>
          <w:tblHeader w:val="0"/>
        </w:trPr>
        <w:tc>
          <w:tcPr>
            <w:tcBorders>
              <w:top w:color="000000" w:space="0" w:sz="0" w:val="nil"/>
              <w:left w:color="000000" w:space="0" w:sz="0" w:val="nil"/>
              <w:bottom w:color="000000" w:space="0" w:sz="0" w:val="nil"/>
              <w:right w:color="000000" w:space="0" w:sz="0" w:val="nil"/>
            </w:tcBorders>
            <w:shd w:fill="f9fafb" w:val="clear"/>
            <w:tcMar>
              <w:top w:w="80.0" w:type="dxa"/>
              <w:left w:w="100.0" w:type="dxa"/>
              <w:bottom w:w="80.0" w:type="dxa"/>
              <w:right w:w="100.0" w:type="dxa"/>
            </w:tcMar>
            <w:vAlign w:val="top"/>
          </w:tcPr>
          <w:p w:rsidR="00000000" w:rsidDel="00000000" w:rsidP="00000000" w:rsidRDefault="00000000" w:rsidRPr="00000000" w14:paraId="0000001B">
            <w:pPr>
              <w:spacing w:after="200" w:lineRule="auto"/>
              <w:rPr>
                <w:b w:val="1"/>
                <w:bCs w:val="1"/>
                <w:color w:val="374151"/>
                <w:sz w:val="19"/>
                <w:szCs w:val="19"/>
              </w:rPr>
            </w:pPr>
            <w:r w:rsidDel="00000000" w:rsidR="00000000" w:rsidRPr="00000000">
              <w:rPr>
                <w:b w:val="1"/>
                <w:bCs w:val="1"/>
                <w:color w:val="374151"/>
                <w:sz w:val="19"/>
                <w:szCs w:val="19"/>
                <w:rtl w:val="0"/>
              </w:rPr>
              <w:t xml:space="preserve">Auditability</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01C">
            <w:pPr>
              <w:spacing w:after="200" w:lineRule="auto"/>
              <w:rPr>
                <w:sz w:val="19"/>
                <w:szCs w:val="19"/>
              </w:rPr>
            </w:pPr>
            <w:r w:rsidDel="00000000" w:rsidR="00000000" w:rsidRPr="00000000">
              <w:rPr>
                <w:sz w:val="19"/>
                <w:szCs w:val="19"/>
                <w:rtl w:val="0"/>
              </w:rPr>
              <w:t xml:space="preserve">Highly auditable. Retraining logs, performance validation logs, and objective clinical fairness metrics are fully captured, allowing detailed oversight and review by the Hospital's Institutional Review Board (IRB) and Clinical Governance Committee.</w:t>
            </w:r>
          </w:p>
        </w:tc>
      </w:tr>
    </w:tbl>
    <w:p w:rsidR="00000000" w:rsidDel="00000000" w:rsidP="00000000" w:rsidRDefault="00000000" w:rsidRPr="00000000" w14:paraId="0000001D">
      <w:pPr>
        <w:spacing w:after="360" w:lineRule="auto"/>
        <w:rPr/>
      </w:pPr>
      <w:r w:rsidDel="00000000" w:rsidR="00000000" w:rsidRPr="00000000">
        <w:rPr>
          <w:rtl w:val="0"/>
        </w:rPr>
        <w:t xml:space="preserve"> </w:t>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1635" w:hRule="atLeast"/>
          <w:tblHeader w:val="0"/>
        </w:trPr>
        <w:tc>
          <w:tcPr>
            <w:tcBorders>
              <w:top w:color="000000" w:space="0" w:sz="0" w:val="nil"/>
              <w:left w:color="0ea5e9" w:space="0" w:sz="24" w:val="single"/>
              <w:bottom w:color="000000" w:space="0" w:sz="0" w:val="nil"/>
              <w:right w:color="000000" w:space="0" w:sz="0" w:val="nil"/>
            </w:tcBorders>
            <w:shd w:fill="f0f9ff" w:val="clear"/>
            <w:tcMar>
              <w:top w:w="140.0" w:type="dxa"/>
              <w:left w:w="200.0" w:type="dxa"/>
              <w:bottom w:w="140.0" w:type="dxa"/>
              <w:right w:w="200.0" w:type="dxa"/>
            </w:tcMar>
            <w:vAlign w:val="top"/>
          </w:tcPr>
          <w:p w:rsidR="00000000" w:rsidDel="00000000" w:rsidP="00000000" w:rsidRDefault="00000000" w:rsidRPr="00000000" w14:paraId="0000001E">
            <w:pPr>
              <w:spacing w:after="200" w:lineRule="auto"/>
              <w:rPr/>
            </w:pPr>
            <w:r w:rsidDel="00000000" w:rsidR="00000000" w:rsidRPr="00000000">
              <w:rPr>
                <w:rtl w:val="0"/>
              </w:rPr>
              <w:t xml:space="preserve">📈 Clinical Operational Monitoring Requirement:</w:t>
              <w:br w:type="textWrapping"/>
              <w:t xml:space="preserve"> Target Metrics Tracked: Disparate Impact Ratio, Demographic Parity, and False Negative Rate Disparity.</w:t>
              <w:br w:type="textWrapping"/>
              <w:t xml:space="preserve"> Cadence: Weekly automated batch audits.</w:t>
              <w:br w:type="textWrapping"/>
              <w:t xml:space="preserve"> Responsible Owner: Lead Clinical Data Scientist / Hospital AI Ethics &amp; Triage Governance Lead.</w:t>
            </w:r>
          </w:p>
        </w:tc>
      </w:tr>
    </w:tbl>
    <w:p w:rsidR="00000000" w:rsidDel="00000000" w:rsidP="00000000" w:rsidRDefault="00000000" w:rsidRPr="00000000" w14:paraId="0000001F">
      <w:pPr>
        <w:spacing w:after="80" w:lineRule="auto"/>
        <w:rPr>
          <w:b w:val="1"/>
          <w:bCs w:val="1"/>
          <w:color w:val="374151"/>
        </w:rPr>
      </w:pPr>
      <w:r w:rsidDel="00000000" w:rsidR="00000000" w:rsidRPr="00000000">
        <w:rPr>
          <w:b w:val="1"/>
          <w:bCs w:val="1"/>
          <w:color w:val="374151"/>
          <w:rtl w:val="0"/>
        </w:rPr>
        <w:t xml:space="preserve">Required Follow-Up Actions</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250" w:hRule="atLeast"/>
          <w:tblHeader w:val="0"/>
        </w:trPr>
        <w:tc>
          <w:tcPr>
            <w:tcBorders>
              <w:top w:color="d1d5db" w:space="0" w:sz="5" w:val="single"/>
              <w:left w:color="d1d5db" w:space="0" w:sz="5" w:val="single"/>
              <w:bottom w:color="d1d5db" w:space="0" w:sz="5" w:val="single"/>
              <w:right w:color="d1d5db" w:space="0" w:sz="5" w:val="single"/>
            </w:tcBorders>
            <w:shd w:fill="fafafa" w:val="clear"/>
            <w:tcMar>
              <w:top w:w="100.0" w:type="dxa"/>
              <w:left w:w="160.0" w:type="dxa"/>
              <w:bottom w:w="100.0" w:type="dxa"/>
              <w:right w:w="160.0" w:type="dxa"/>
            </w:tcMar>
            <w:vAlign w:val="top"/>
          </w:tcPr>
          <w:p w:rsidR="00000000" w:rsidDel="00000000" w:rsidP="00000000" w:rsidRDefault="00000000" w:rsidRPr="00000000" w14:paraId="00000020">
            <w:pPr>
              <w:spacing w:after="200" w:lineRule="auto"/>
              <w:rPr>
                <w:color w:val="111827"/>
              </w:rPr>
            </w:pPr>
            <w:r w:rsidDel="00000000" w:rsidR="00000000" w:rsidRPr="00000000">
              <w:rPr>
                <w:color w:val="111827"/>
                <w:rtl w:val="0"/>
              </w:rPr>
              <w:t xml:space="preserve">1. Temporarily pause the automated prioritization function of the Patient Triage Recommendation Model in production, reverting the Emergency Department to manual clinician triage.</w:t>
              <w:br w:type="textWrapping"/>
              <w:t xml:space="preserve"> 2. Implement adversarial retraining / clinical debiasing strategies to correct the identified age-group triage disparities.</w:t>
              <w:br w:type="textWrapping"/>
              <w:t xml:space="preserve"> 3. Conduct an urgent ethical review of model metrics with the Hospital Compliance, Clinical Safety, and IRB teams.</w:t>
              <w:br w:type="textWrapping"/>
              <w:t xml:space="preserve"> 4. Deliver weekly validation audit reports to Clinical Governance Stakeholders prior to re-releasing the triage automation features.</w:t>
            </w:r>
          </w:p>
        </w:tc>
      </w:tr>
    </w:tbl>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