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color w:val="090a0b"/>
          <w:sz w:val="24"/>
          <w:szCs w:val="24"/>
        </w:rPr>
      </w:pPr>
      <w:bookmarkStart w:colFirst="0" w:colLast="0" w:name="_3h90uykpzu3o" w:id="0"/>
      <w:bookmarkEnd w:id="0"/>
      <w:r w:rsidDel="00000000" w:rsidR="00000000" w:rsidRPr="00000000">
        <w:rPr>
          <w:b w:val="1"/>
          <w:bCs w:val="1"/>
          <w:color w:val="090a0b"/>
          <w:sz w:val="46"/>
          <w:szCs w:val="46"/>
          <w:rtl w:val="0"/>
        </w:rPr>
        <w:t xml:space="preserve">Data Ethics Checklist</w:t>
      </w:r>
      <w:r w:rsidDel="00000000" w:rsidR="00000000" w:rsidRPr="00000000">
        <w:rPr>
          <w:rtl w:val="0"/>
        </w:rPr>
      </w:r>
    </w:p>
    <w:p w:rsidR="00000000" w:rsidDel="00000000" w:rsidP="00000000" w:rsidRDefault="00000000" w:rsidRPr="00000000" w14:paraId="00000002">
      <w:pPr>
        <w:pStyle w:val="Heading2"/>
        <w:spacing w:after="240" w:lineRule="auto"/>
        <w:rPr/>
      </w:pPr>
      <w:bookmarkStart w:colFirst="0" w:colLast="0" w:name="_h79eindw5z9" w:id="1"/>
      <w:bookmarkEnd w:id="1"/>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This checklist is used to evaluate third-party dataset submissions prior to use in AI model training or fine-tuning projects. Reviewers must assess each criterion independently and assign a designation based on the threshold requirements defined below. The completed checklist becomes part of the organization's dataset registry and must meet governance audit standards.</w:t>
      </w:r>
    </w:p>
    <w:p w:rsidR="00000000" w:rsidDel="00000000" w:rsidP="00000000" w:rsidRDefault="00000000" w:rsidRPr="00000000" w14:paraId="00000004">
      <w:pPr>
        <w:pStyle w:val="Heading2"/>
        <w:spacing w:after="240" w:lineRule="auto"/>
        <w:rPr>
          <w:b w:val="1"/>
          <w:bCs w:val="1"/>
        </w:rPr>
      </w:pPr>
      <w:bookmarkStart w:colFirst="0" w:colLast="0" w:name="_rkuto0euoqlz" w:id="2"/>
      <w:bookmarkEnd w:id="2"/>
      <w:r w:rsidDel="00000000" w:rsidR="00000000" w:rsidRPr="00000000">
        <w:rPr>
          <w:b w:val="1"/>
          <w:bCs w:val="1"/>
          <w:rtl w:val="0"/>
        </w:rPr>
        <w:t xml:space="preserve">Governance Metadata</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b w:val="1"/>
          <w:bCs w:val="1"/>
          <w:rtl w:val="0"/>
        </w:rPr>
        <w:t xml:space="preserve">Reviewer Name:</w:t>
      </w:r>
      <w:r w:rsidDel="00000000" w:rsidR="00000000" w:rsidRPr="00000000">
        <w:rPr>
          <w:rtl w:val="0"/>
        </w:rPr>
        <w:t xml:space="preserve"> AI Ethics &amp; Data Compliance Lead</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Review Date:</w:t>
      </w:r>
      <w:r w:rsidDel="00000000" w:rsidR="00000000" w:rsidRPr="00000000">
        <w:rPr>
          <w:rtl w:val="0"/>
        </w:rPr>
        <w:t xml:space="preserve"> July 17, 2026</w:t>
      </w:r>
    </w:p>
    <w:p w:rsidR="00000000" w:rsidDel="00000000" w:rsidP="00000000" w:rsidRDefault="00000000" w:rsidRPr="00000000" w14:paraId="00000007">
      <w:pPr>
        <w:numPr>
          <w:ilvl w:val="0"/>
          <w:numId w:val="7"/>
        </w:numPr>
        <w:spacing w:after="240" w:lineRule="auto"/>
        <w:ind w:left="720" w:hanging="360"/>
      </w:pPr>
      <w:r w:rsidDel="00000000" w:rsidR="00000000" w:rsidRPr="00000000">
        <w:rPr>
          <w:b w:val="1"/>
          <w:bCs w:val="1"/>
          <w:rtl w:val="0"/>
        </w:rPr>
        <w:t xml:space="preserve">Dataset Registry Entry ID:</w:t>
      </w:r>
      <w:r w:rsidDel="00000000" w:rsidR="00000000" w:rsidRPr="00000000">
        <w:rPr>
          <w:rtl w:val="0"/>
        </w:rPr>
        <w:t xml:space="preserve"> DS-TRIAGE-2026-V1</w:t>
      </w:r>
    </w:p>
    <w:p w:rsidR="00000000" w:rsidDel="00000000" w:rsidP="00000000" w:rsidRDefault="00000000" w:rsidRPr="00000000" w14:paraId="00000008">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wljbkwzy8fr" w:id="3"/>
      <w:bookmarkEnd w:id="3"/>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lzts1qedefth" w:id="4"/>
      <w:bookmarkEnd w:id="4"/>
      <w:r w:rsidDel="00000000" w:rsidR="00000000" w:rsidRPr="00000000">
        <w:rPr>
          <w:rFonts w:ascii="Google Sans" w:cs="Google Sans" w:eastAsia="Google Sans" w:hAnsi="Google Sans"/>
          <w:b w:val="1"/>
          <w:bCs w:val="1"/>
          <w:color w:val="000000"/>
          <w:sz w:val="26"/>
          <w:szCs w:val="26"/>
          <w:rtl w:val="0"/>
        </w:rPr>
        <w:t xml:space="preserve">CRITERION 1: Sourcing Transparency</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Reviewer Designation:</w:t>
      </w:r>
      <w:r w:rsidDel="00000000" w:rsidR="00000000" w:rsidRPr="00000000">
        <w:rPr>
          <w:rtl w:val="0"/>
        </w:rPr>
        <w:t xml:space="preserve"> ☒ Pass ☐ Flag ☐ Fail</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b w:val="1"/>
          <w:bCs w:val="1"/>
          <w:rtl w:val="0"/>
        </w:rPr>
        <w:t xml:space="preserve">Rationale (one sentence):</w:t>
      </w:r>
      <w:r w:rsidDel="00000000" w:rsidR="00000000" w:rsidRPr="00000000">
        <w:rPr>
          <w:rtl w:val="0"/>
        </w:rPr>
        <w:t xml:space="preserve"> The vendor documentation clearly names the Electronic Health Record (EHR) aggregator and maps the collection methods via structured API pulls across all emergency room data segments.</w:t>
      </w:r>
    </w:p>
    <w:p w:rsidR="00000000" w:rsidDel="00000000" w:rsidP="00000000" w:rsidRDefault="00000000" w:rsidRPr="00000000" w14:paraId="0000000C">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e7ktlzlbfidu" w:id="5"/>
      <w:bookmarkEnd w:id="5"/>
      <w:r w:rsidDel="00000000" w:rsidR="00000000" w:rsidRPr="00000000">
        <w:rPr>
          <w:rFonts w:ascii="Google Sans" w:cs="Google Sans" w:eastAsia="Google Sans" w:hAnsi="Google Sans"/>
          <w:b w:val="1"/>
          <w:bCs w:val="1"/>
          <w:color w:val="000000"/>
          <w:sz w:val="26"/>
          <w:szCs w:val="26"/>
          <w:rtl w:val="0"/>
        </w:rPr>
        <w:t xml:space="preserve">CRITERION 2: Consent and Licensing</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Reviewer Designation:</w:t>
      </w:r>
      <w:r w:rsidDel="00000000" w:rsidR="00000000" w:rsidRPr="00000000">
        <w:rPr>
          <w:rtl w:val="0"/>
        </w:rPr>
        <w:t xml:space="preserve"> ☒ Pass ☐ Flag ☐ Fail</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Rationale (one sentence):</w:t>
      </w:r>
      <w:r w:rsidDel="00000000" w:rsidR="00000000" w:rsidRPr="00000000">
        <w:rPr>
          <w:rtl w:val="0"/>
        </w:rPr>
        <w:t xml:space="preserve"> Vendor licensing terms explicitly authorize commercial AI application usage and the patient consent records explicitly cover downstream clinical model training and optimization pipelines.</w:t>
      </w:r>
    </w:p>
    <w:p w:rsidR="00000000" w:rsidDel="00000000" w:rsidP="00000000" w:rsidRDefault="00000000" w:rsidRPr="00000000" w14:paraId="0000000F">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2izrafewmytj" w:id="6"/>
      <w:bookmarkEnd w:id="6"/>
      <w:r w:rsidDel="00000000" w:rsidR="00000000" w:rsidRPr="00000000">
        <w:rPr>
          <w:rFonts w:ascii="Google Sans" w:cs="Google Sans" w:eastAsia="Google Sans" w:hAnsi="Google Sans"/>
          <w:b w:val="1"/>
          <w:bCs w:val="1"/>
          <w:color w:val="000000"/>
          <w:sz w:val="26"/>
          <w:szCs w:val="26"/>
          <w:rtl w:val="0"/>
        </w:rPr>
        <w:t xml:space="preserve">CRITERION 3: Representational Fairness</w:t>
      </w:r>
    </w:p>
    <w:p w:rsidR="00000000" w:rsidDel="00000000" w:rsidP="00000000" w:rsidRDefault="00000000" w:rsidRPr="00000000" w14:paraId="00000010">
      <w:pPr>
        <w:numPr>
          <w:ilvl w:val="0"/>
          <w:numId w:val="8"/>
        </w:numPr>
        <w:spacing w:after="0" w:afterAutospacing="0" w:lineRule="auto"/>
        <w:ind w:left="720" w:hanging="360"/>
      </w:pPr>
      <w:r w:rsidDel="00000000" w:rsidR="00000000" w:rsidRPr="00000000">
        <w:rPr>
          <w:b w:val="1"/>
          <w:bCs w:val="1"/>
          <w:rtl w:val="0"/>
        </w:rPr>
        <w:t xml:space="preserve">Reviewer Designation:</w:t>
      </w:r>
      <w:r w:rsidDel="00000000" w:rsidR="00000000" w:rsidRPr="00000000">
        <w:rPr>
          <w:rtl w:val="0"/>
        </w:rPr>
        <w:t xml:space="preserve"> ☐ Pass ☐ Flag ☒ Fail</w:t>
      </w:r>
    </w:p>
    <w:p w:rsidR="00000000" w:rsidDel="00000000" w:rsidP="00000000" w:rsidRDefault="00000000" w:rsidRPr="00000000" w14:paraId="00000011">
      <w:pPr>
        <w:numPr>
          <w:ilvl w:val="0"/>
          <w:numId w:val="8"/>
        </w:numPr>
        <w:spacing w:after="240" w:lineRule="auto"/>
        <w:ind w:left="720" w:hanging="360"/>
      </w:pPr>
      <w:r w:rsidDel="00000000" w:rsidR="00000000" w:rsidRPr="00000000">
        <w:rPr>
          <w:b w:val="1"/>
          <w:bCs w:val="1"/>
          <w:rtl w:val="0"/>
        </w:rPr>
        <w:t xml:space="preserve">Rationale (one sentence):</w:t>
      </w:r>
      <w:r w:rsidDel="00000000" w:rsidR="00000000" w:rsidRPr="00000000">
        <w:rPr>
          <w:rtl w:val="0"/>
        </w:rPr>
        <w:t xml:space="preserve"> The documentation fails to provide an age-demographic composition or a statistical bias audit, leading directly to a production Disparate Impact Ratio of 0.68 and a 0.13 False Negative Rate disparity targeting older patients.</w:t>
      </w:r>
    </w:p>
    <w:p w:rsidR="00000000" w:rsidDel="00000000" w:rsidP="00000000" w:rsidRDefault="00000000" w:rsidRPr="00000000" w14:paraId="00000012">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lx6bovu2i0sk" w:id="7"/>
      <w:bookmarkEnd w:id="7"/>
      <w:r w:rsidDel="00000000" w:rsidR="00000000" w:rsidRPr="00000000">
        <w:rPr>
          <w:rFonts w:ascii="Google Sans" w:cs="Google Sans" w:eastAsia="Google Sans" w:hAnsi="Google Sans"/>
          <w:b w:val="1"/>
          <w:bCs w:val="1"/>
          <w:color w:val="000000"/>
          <w:sz w:val="26"/>
          <w:szCs w:val="26"/>
          <w:rtl w:val="0"/>
        </w:rPr>
        <w:t xml:space="preserve">CRITERION 4: Data Minimization</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Reviewer Designation:</w:t>
      </w:r>
      <w:r w:rsidDel="00000000" w:rsidR="00000000" w:rsidRPr="00000000">
        <w:rPr>
          <w:rtl w:val="0"/>
        </w:rPr>
        <w:t xml:space="preserve"> ☐ Pass ☒ Flag ☐ Fail</w:t>
      </w:r>
    </w:p>
    <w:p w:rsidR="00000000" w:rsidDel="00000000" w:rsidP="00000000" w:rsidRDefault="00000000" w:rsidRPr="00000000" w14:paraId="00000014">
      <w:pPr>
        <w:numPr>
          <w:ilvl w:val="0"/>
          <w:numId w:val="5"/>
        </w:numPr>
        <w:spacing w:after="240" w:lineRule="auto"/>
        <w:ind w:left="720" w:hanging="360"/>
      </w:pPr>
      <w:r w:rsidDel="00000000" w:rsidR="00000000" w:rsidRPr="00000000">
        <w:rPr>
          <w:b w:val="1"/>
          <w:bCs w:val="1"/>
          <w:rtl w:val="0"/>
        </w:rPr>
        <w:t xml:space="preserve">Rationale (one sentence):</w:t>
      </w:r>
      <w:r w:rsidDel="00000000" w:rsidR="00000000" w:rsidRPr="00000000">
        <w:rPr>
          <w:rtl w:val="0"/>
        </w:rPr>
        <w:t xml:space="preserve"> The dataset scope appears proportionate to emergency triage needs, but the field-level data dictionary describes protected health text variables generally rather than defining pseudonymization handling field by field.</w:t>
      </w:r>
    </w:p>
    <w:p w:rsidR="00000000" w:rsidDel="00000000" w:rsidP="00000000" w:rsidRDefault="00000000" w:rsidRPr="00000000" w14:paraId="00000015">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8237f8mm7ewh" w:id="8"/>
      <w:bookmarkEnd w:id="8"/>
      <w:r w:rsidDel="00000000" w:rsidR="00000000" w:rsidRPr="00000000">
        <w:rPr>
          <w:rFonts w:ascii="Google Sans" w:cs="Google Sans" w:eastAsia="Google Sans" w:hAnsi="Google Sans"/>
          <w:b w:val="1"/>
          <w:bCs w:val="1"/>
          <w:color w:val="000000"/>
          <w:sz w:val="26"/>
          <w:szCs w:val="26"/>
          <w:rtl w:val="0"/>
        </w:rPr>
        <w:t xml:space="preserve">CRITERION 5: Provenance Documentation</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Reviewer Designation:</w:t>
      </w:r>
      <w:r w:rsidDel="00000000" w:rsidR="00000000" w:rsidRPr="00000000">
        <w:rPr>
          <w:rtl w:val="0"/>
        </w:rPr>
        <w:t xml:space="preserve"> ☒ Pass ☐ Flag ☐ Fail</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b w:val="1"/>
          <w:bCs w:val="1"/>
          <w:rtl w:val="0"/>
        </w:rPr>
        <w:t xml:space="preserve">Rationale (one sentence):</w:t>
      </w:r>
      <w:r w:rsidDel="00000000" w:rsidR="00000000" w:rsidRPr="00000000">
        <w:rPr>
          <w:rtl w:val="0"/>
        </w:rPr>
        <w:t xml:space="preserve"> The vendor provided a complete chain of custody tracing data from the original emergency department intake timestamps through all aggregation and pseudonymization cycles.</w:t>
      </w:r>
    </w:p>
    <w:p w:rsidR="00000000" w:rsidDel="00000000" w:rsidP="00000000" w:rsidRDefault="00000000" w:rsidRPr="00000000" w14:paraId="00000018">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lr62byz31z4g" w:id="9"/>
      <w:bookmarkEnd w:id="9"/>
      <w:r w:rsidDel="00000000" w:rsidR="00000000" w:rsidRPr="00000000">
        <w:rPr>
          <w:rFonts w:ascii="Google Sans" w:cs="Google Sans" w:eastAsia="Google Sans" w:hAnsi="Google Sans"/>
          <w:b w:val="1"/>
          <w:bCs w:val="1"/>
          <w:color w:val="000000"/>
          <w:sz w:val="26"/>
          <w:szCs w:val="26"/>
          <w:rtl w:val="0"/>
        </w:rPr>
        <w:t xml:space="preserve">OVERALL DECISION</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b w:val="1"/>
          <w:bCs w:val="1"/>
          <w:rtl w:val="0"/>
        </w:rPr>
        <w:t xml:space="preserve">Decision:</w:t>
      </w:r>
      <w:r w:rsidDel="00000000" w:rsidR="00000000" w:rsidRPr="00000000">
        <w:rPr>
          <w:rtl w:val="0"/>
        </w:rPr>
        <w:t xml:space="preserve"> ☐ Approve ☐ Approve with Conditions ☒ Reject</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Decision Record:</w:t>
      </w:r>
    </w:p>
    <w:p w:rsidR="00000000" w:rsidDel="00000000" w:rsidP="00000000" w:rsidRDefault="00000000" w:rsidRPr="00000000" w14:paraId="0000001B">
      <w:pPr>
        <w:spacing w:after="240" w:lineRule="auto"/>
        <w:rPr/>
      </w:pPr>
      <w:r w:rsidDel="00000000" w:rsidR="00000000" w:rsidRPr="00000000">
        <w:rPr>
          <w:rtl w:val="0"/>
        </w:rPr>
        <w:t xml:space="preserve">The third-party dataset submission for the Patient Triage Recommendation Model is formally </w:t>
      </w:r>
      <w:r w:rsidDel="00000000" w:rsidR="00000000" w:rsidRPr="00000000">
        <w:rPr>
          <w:b w:val="1"/>
          <w:bCs w:val="1"/>
          <w:rtl w:val="0"/>
        </w:rPr>
        <w:t xml:space="preserve">Rejected</w:t>
      </w:r>
      <w:r w:rsidDel="00000000" w:rsidR="00000000" w:rsidRPr="00000000">
        <w:rPr>
          <w:rtl w:val="0"/>
        </w:rPr>
        <w:t xml:space="preserve"> due to a critical failure under Criterion 3 (Representational Fairness). Operational bias audits revealed that the training distribution systematically misrepresents older patient populations, causing an unacceptable 0.13 False Negative Rate Disparity and a 0.68 Disparate Impact Ratio against the 45–60 age group in emergency settings.</w:t>
      </w:r>
    </w:p>
    <w:p w:rsidR="00000000" w:rsidDel="00000000" w:rsidP="00000000" w:rsidRDefault="00000000" w:rsidRPr="00000000" w14:paraId="0000001C">
      <w:pPr>
        <w:spacing w:after="240" w:lineRule="auto"/>
        <w:rPr/>
      </w:pPr>
      <w:r w:rsidDel="00000000" w:rsidR="00000000" w:rsidRPr="00000000">
        <w:rPr>
          <w:rtl w:val="0"/>
        </w:rPr>
        <w:t xml:space="preserve">Approving this data framework creates severe legal, regulatory, and patient clinical safety exposures due to the high risk of automated treatment deprioritization. The model retraining pipeline is paused until the vendor resolves these structural demographic gaps.</w:t>
      </w:r>
    </w:p>
    <w:p w:rsidR="00000000" w:rsidDel="00000000" w:rsidP="00000000" w:rsidRDefault="00000000" w:rsidRPr="00000000" w14:paraId="0000001D">
      <w:pPr>
        <w:spacing w:after="240" w:lineRule="auto"/>
        <w:rPr>
          <w:b w:val="1"/>
          <w:bCs w:val="1"/>
        </w:rPr>
      </w:pPr>
      <w:r w:rsidDel="00000000" w:rsidR="00000000" w:rsidRPr="00000000">
        <w:rPr>
          <w:b w:val="1"/>
          <w:bCs w:val="1"/>
          <w:rtl w:val="0"/>
        </w:rPr>
        <w:t xml:space="preserve">If Rejecting—complete the following:</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Criteria that drove the rejection:</w:t>
      </w:r>
      <w:r w:rsidDel="00000000" w:rsidR="00000000" w:rsidRPr="00000000">
        <w:rPr>
          <w:rtl w:val="0"/>
        </w:rPr>
        <w:t xml:space="preserve"> CRITERION 3: Representational Fairness.</w:t>
      </w:r>
    </w:p>
    <w:p w:rsidR="00000000" w:rsidDel="00000000" w:rsidP="00000000" w:rsidRDefault="00000000" w:rsidRPr="00000000" w14:paraId="0000001F">
      <w:pPr>
        <w:numPr>
          <w:ilvl w:val="0"/>
          <w:numId w:val="6"/>
        </w:numPr>
        <w:spacing w:after="240" w:lineRule="auto"/>
        <w:ind w:left="720" w:hanging="360"/>
      </w:pPr>
      <w:r w:rsidDel="00000000" w:rsidR="00000000" w:rsidRPr="00000000">
        <w:rPr>
          <w:b w:val="1"/>
          <w:bCs w:val="1"/>
          <w:rtl w:val="0"/>
        </w:rPr>
        <w:t xml:space="preserve">Documentation the vendor must provide for resubmission:</w:t>
      </w:r>
      <w:r w:rsidDel="00000000" w:rsidR="00000000" w:rsidRPr="00000000">
        <w:rPr>
          <w:rtl w:val="0"/>
        </w:rPr>
        <w:t xml:space="preserve"> The vendor must supply a comprehensive demographic data audit, an explicit methodology explaining how age group representations were calculated, and a remediation plan demonstrating how the underrepresented 45–60 age bracket will be mathematically balanced to eliminate the operational FNR disparity.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