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rPr/>
      </w:pPr>
      <w:r w:rsidDel="00000000" w:rsidR="00000000" w:rsidRPr="00000000">
        <w:rPr>
          <w:b w:val="1"/>
          <w:bCs w:val="1"/>
          <w:color w:val="1f3864"/>
          <w:sz w:val="36"/>
          <w:szCs w:val="36"/>
          <w:rtl w:val="0"/>
        </w:rPr>
        <w:t xml:space="preserve">AI GOVERNANCE &amp; COMPLIANCE PACKAGE REPORT</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color w:val="415a80"/>
          <w:sz w:val="22"/>
          <w:szCs w:val="22"/>
          <w:rtl w:val="0"/>
        </w:rPr>
        <w:t xml:space="preserve">SYSTEM: Insurance Claims Triage AI (v2.4) | COMPANY: Contoso Health Partners</w:t>
      </w:r>
      <w:r w:rsidDel="00000000" w:rsidR="00000000" w:rsidRPr="00000000">
        <w:rPr>
          <w:rtl w:val="0"/>
        </w:rPr>
      </w:r>
    </w:p>
    <w:p w:rsidR="00000000" w:rsidDel="00000000" w:rsidP="00000000" w:rsidRDefault="00000000" w:rsidRPr="00000000" w14:paraId="00000003">
      <w:pPr>
        <w:keepNext w:val="1"/>
        <w:pBdr>
          <w:bottom w:color="1f3864" w:space="4" w:sz="8" w:val="single"/>
        </w:pBdr>
        <w:spacing w:after="120" w:before="400" w:lineRule="auto"/>
        <w:rPr/>
      </w:pPr>
      <w:r w:rsidDel="00000000" w:rsidR="00000000" w:rsidRPr="00000000">
        <w:rPr>
          <w:b w:val="1"/>
          <w:bCs w:val="1"/>
          <w:color w:val="1f3864"/>
          <w:sz w:val="26"/>
          <w:szCs w:val="26"/>
          <w:rtl w:val="0"/>
        </w:rPr>
        <w:t xml:space="preserve">1. Executive Summary &amp; Posture Verdict</w:t>
      </w:r>
      <w:r w:rsidDel="00000000" w:rsidR="00000000" w:rsidRPr="00000000">
        <w:rPr>
          <w:rtl w:val="0"/>
        </w:rPr>
      </w:r>
    </w:p>
    <w:tbl>
      <w:tblPr>
        <w:tblStyle w:val="Table1"/>
        <w:tblW w:w="9360.0" w:type="dxa"/>
        <w:jc w:val="center"/>
        <w:tblBorders>
          <w:top w:color="ffbf00" w:space="0" w:sz="6" w:val="single"/>
          <w:left w:color="ffbf00" w:space="0" w:sz="6" w:val="single"/>
          <w:bottom w:color="ffbf00" w:space="0" w:sz="6" w:val="single"/>
          <w:right w:color="ffbf00" w:space="0" w:sz="6" w:val="single"/>
          <w:insideH w:color="ffbf00" w:space="0" w:sz="6" w:val="single"/>
          <w:insideV w:color="ffbf00"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fffacd" w:val="clear"/>
            <w:tcMar>
              <w:top w:w="80.0" w:type="dxa"/>
              <w:left w:w="100.0" w:type="dxa"/>
              <w:bottom w:w="80.0" w:type="dxa"/>
              <w:right w:w="100.0" w:type="dxa"/>
            </w:tcMar>
          </w:tcPr>
          <w:p w:rsidR="00000000" w:rsidDel="00000000" w:rsidP="00000000" w:rsidRDefault="00000000" w:rsidRPr="00000000" w14:paraId="00000004">
            <w:pPr>
              <w:rPr/>
            </w:pPr>
            <w:r w:rsidDel="00000000" w:rsidR="00000000" w:rsidRPr="00000000">
              <w:rPr>
                <w:b w:val="1"/>
                <w:bCs w:val="1"/>
                <w:rtl w:val="0"/>
              </w:rPr>
              <w:t xml:space="preserve">Audit Readiness Verdict:</w:t>
            </w:r>
            <w:r w:rsidDel="00000000" w:rsidR="00000000" w:rsidRPr="00000000">
              <w:rPr>
                <w:rtl w:val="0"/>
              </w:rPr>
            </w:r>
          </w:p>
        </w:tc>
        <w:tc>
          <w:tcPr>
            <w:shd w:fill="fffacd" w:val="clear"/>
            <w:tcMar>
              <w:top w:w="80.0" w:type="dxa"/>
              <w:left w:w="100.0" w:type="dxa"/>
              <w:bottom w:w="80.0" w:type="dxa"/>
              <w:right w:w="100.0" w:type="dxa"/>
            </w:tcMar>
          </w:tcPr>
          <w:p w:rsidR="00000000" w:rsidDel="00000000" w:rsidP="00000000" w:rsidRDefault="00000000" w:rsidRPr="00000000" w14:paraId="00000005">
            <w:pPr>
              <w:rPr/>
            </w:pPr>
            <w:r w:rsidDel="00000000" w:rsidR="00000000" w:rsidRPr="00000000">
              <w:rPr>
                <w:b w:val="1"/>
                <w:bCs w:val="1"/>
                <w:color w:val="d97706"/>
                <w:rtl w:val="0"/>
              </w:rPr>
              <w:t xml:space="preserve">READY WITH CONDITIONS</w:t>
            </w:r>
            <w:r w:rsidDel="00000000" w:rsidR="00000000" w:rsidRPr="00000000">
              <w:rPr>
                <w:rtl w:val="0"/>
              </w:rPr>
            </w:r>
          </w:p>
        </w:tc>
      </w:tr>
    </w:tbl>
    <w:p w:rsidR="00000000" w:rsidDel="00000000" w:rsidP="00000000" w:rsidRDefault="00000000" w:rsidRPr="00000000" w14:paraId="00000006">
      <w:pPr>
        <w:spacing w:before="200" w:lineRule="auto"/>
        <w:rPr/>
      </w:pPr>
      <w:r w:rsidDel="00000000" w:rsidR="00000000" w:rsidRPr="00000000">
        <w:rPr>
          <w:b w:val="1"/>
          <w:bCs w:val="1"/>
          <w:rtl w:val="0"/>
        </w:rPr>
        <w:t xml:space="preserve">Strategic Governance Justification: </w:t>
      </w:r>
      <w:r w:rsidDel="00000000" w:rsidR="00000000" w:rsidRPr="00000000">
        <w:rPr>
          <w:rtl w:val="0"/>
        </w:rPr>
        <w:t xml:space="preserve">The compliance package for the Insurance Claims Triage AI (v2.4) demonstrates a structurally defensible position, warranting a status of Ready with Conditions. A complete system rollback to v2.3 to remediate the active NeuralCore vulnerability (CVE-2025-XXXX) was evaluated and explicitly rejected. Rolling back drops the model's True Positive Rate (TPR) to 90.4%, immediately breaching the contractually mandated card-network/regulatory SLA floor of 91.0% by 0.6 percentage points. This drop would trigger mandatory regulatory notifications within 48 hours and accumulate an overwhelming operational backlog of 159,600 additional claims per day for manual review. Accordingly, maintaining production state while executing an accelerated 4-hour retraining pipeline under NeuralCore v3.5.0 is the path that preserves enterprise stability, provided the conditions in the Risk Disposition are strictly executed.</w:t>
      </w:r>
    </w:p>
    <w:p w:rsidR="00000000" w:rsidDel="00000000" w:rsidP="00000000" w:rsidRDefault="00000000" w:rsidRPr="00000000" w14:paraId="00000007">
      <w:pPr>
        <w:keepNext w:val="1"/>
        <w:spacing w:after="80" w:before="240" w:lineRule="auto"/>
        <w:rPr/>
      </w:pPr>
      <w:r w:rsidDel="00000000" w:rsidR="00000000" w:rsidRPr="00000000">
        <w:rPr>
          <w:b w:val="1"/>
          <w:bCs w:val="1"/>
          <w:color w:val="415a80"/>
          <w:sz w:val="22"/>
          <w:szCs w:val="22"/>
          <w:rtl w:val="0"/>
        </w:rPr>
        <w:t xml:space="preserve">Top 3 Immediate Governance &amp; Remediation Priorities: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Remediate CVE-2025-XXXX: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Isolate the 4-hour build window using input-filtering heuristics, then compile and hot-swap to the secure NeuralCore v3.5.0 library base (Traces to RSK-04).</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Enforce Third-Party Trust Boundaries: </w:t>
      </w:r>
      <w:sdt>
        <w:sdtPr>
          <w:id w:val="-208433122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Enact localized training-layer noise injection calibrated to a privacy loss ceiling of ε ≤ 2 prior to any historical dataset export to NovaTriage Analytics Ltd. (Traces to RSK-01).</w:t>
          </w:r>
        </w:sdtContent>
      </w:sdt>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Close Architectural Output Gaps: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Deploy structural JSON schema schema-checking on the Output Decoding layer to prevent unvalidated token streams from executing unauthorized state changes in backend financial transaction queues (Traces to RSK-03).</w:t>
      </w:r>
    </w:p>
    <w:p w:rsidR="00000000" w:rsidDel="00000000" w:rsidP="00000000" w:rsidRDefault="00000000" w:rsidRPr="00000000" w14:paraId="0000000B">
      <w:pPr>
        <w:keepNext w:val="1"/>
        <w:pBdr>
          <w:bottom w:color="1f3864" w:space="4" w:sz="8" w:val="single"/>
        </w:pBdr>
        <w:spacing w:after="120" w:before="400" w:lineRule="auto"/>
        <w:rPr/>
      </w:pPr>
      <w:r w:rsidDel="00000000" w:rsidR="00000000" w:rsidRPr="00000000">
        <w:rPr>
          <w:b w:val="1"/>
          <w:bCs w:val="1"/>
          <w:color w:val="1f3864"/>
          <w:sz w:val="26"/>
          <w:szCs w:val="26"/>
          <w:rtl w:val="0"/>
        </w:rPr>
        <w:t xml:space="preserve">2. GDPR Compliance Section</w:t>
      </w:r>
      <w:r w:rsidDel="00000000" w:rsidR="00000000" w:rsidRPr="00000000">
        <w:rPr>
          <w:rtl w:val="0"/>
        </w:rPr>
      </w:r>
    </w:p>
    <w:p w:rsidR="00000000" w:rsidDel="00000000" w:rsidP="00000000" w:rsidRDefault="00000000" w:rsidRPr="00000000" w14:paraId="0000000C">
      <w:pPr>
        <w:keepNext w:val="1"/>
        <w:spacing w:after="80" w:before="240" w:lineRule="auto"/>
        <w:rPr/>
      </w:pPr>
      <w:r w:rsidDel="00000000" w:rsidR="00000000" w:rsidRPr="00000000">
        <w:rPr>
          <w:b w:val="1"/>
          <w:bCs w:val="1"/>
          <w:color w:val="415a80"/>
          <w:sz w:val="22"/>
          <w:szCs w:val="22"/>
          <w:rtl w:val="0"/>
        </w:rPr>
        <w:t xml:space="preserve">2.1 Legal Basis Pairing &amp; Processing Matrix</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Processing sensitive Article 9 health histories alongside automated screening mechanisms requires dual alignment across legal bases. The formal mapping below outlines the validated pairing justifications:</w:t>
      </w:r>
    </w:p>
    <w:tbl>
      <w:tblPr>
        <w:tblStyle w:val="Table2"/>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f3864" w:val="clear"/>
          </w:tcPr>
          <w:p w:rsidR="00000000" w:rsidDel="00000000" w:rsidP="00000000" w:rsidRDefault="00000000" w:rsidRPr="00000000" w14:paraId="0000000E">
            <w:pPr>
              <w:rPr/>
            </w:pPr>
            <w:r w:rsidDel="00000000" w:rsidR="00000000" w:rsidRPr="00000000">
              <w:rPr>
                <w:b w:val="1"/>
                <w:bCs w:val="1"/>
                <w:color w:val="ffffff"/>
                <w:sz w:val="19"/>
                <w:szCs w:val="19"/>
                <w:rtl w:val="0"/>
              </w:rPr>
              <w:t xml:space="preserve">Data Category Component</w:t>
            </w:r>
            <w:r w:rsidDel="00000000" w:rsidR="00000000" w:rsidRPr="00000000">
              <w:rPr>
                <w:rtl w:val="0"/>
              </w:rPr>
            </w:r>
          </w:p>
        </w:tc>
        <w:tc>
          <w:tcPr>
            <w:shd w:fill="1f3864" w:val="clear"/>
          </w:tcPr>
          <w:p w:rsidR="00000000" w:rsidDel="00000000" w:rsidP="00000000" w:rsidRDefault="00000000" w:rsidRPr="00000000" w14:paraId="0000000F">
            <w:pPr>
              <w:rPr/>
            </w:pPr>
            <w:r w:rsidDel="00000000" w:rsidR="00000000" w:rsidRPr="00000000">
              <w:rPr>
                <w:b w:val="1"/>
                <w:bCs w:val="1"/>
                <w:color w:val="ffffff"/>
                <w:sz w:val="19"/>
                <w:szCs w:val="19"/>
                <w:rtl w:val="0"/>
              </w:rPr>
              <w:t xml:space="preserve">Article 6 Basis</w:t>
            </w:r>
            <w:r w:rsidDel="00000000" w:rsidR="00000000" w:rsidRPr="00000000">
              <w:rPr>
                <w:rtl w:val="0"/>
              </w:rPr>
            </w:r>
          </w:p>
        </w:tc>
        <w:tc>
          <w:tcPr>
            <w:shd w:fill="1f3864" w:val="clea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Article 9 Base Flag</w:t>
            </w:r>
            <w:r w:rsidDel="00000000" w:rsidR="00000000" w:rsidRPr="00000000">
              <w:rPr>
                <w:rtl w:val="0"/>
              </w:rPr>
            </w:r>
          </w:p>
        </w:tc>
        <w:tc>
          <w:tcPr>
            <w:shd w:fill="1f3864" w:val="clear"/>
          </w:tcPr>
          <w:p w:rsidR="00000000" w:rsidDel="00000000" w:rsidP="00000000" w:rsidRDefault="00000000" w:rsidRPr="00000000" w14:paraId="00000011">
            <w:pPr>
              <w:rPr/>
            </w:pPr>
            <w:r w:rsidDel="00000000" w:rsidR="00000000" w:rsidRPr="00000000">
              <w:rPr>
                <w:b w:val="1"/>
                <w:bCs w:val="1"/>
                <w:color w:val="ffffff"/>
                <w:sz w:val="19"/>
                <w:szCs w:val="19"/>
                <w:rtl w:val="0"/>
              </w:rPr>
              <w:t xml:space="preserve">Operational Justification / Rationale</w:t>
            </w:r>
            <w:r w:rsidDel="00000000" w:rsidR="00000000" w:rsidRPr="00000000">
              <w:rPr>
                <w:rtl w:val="0"/>
              </w:rPr>
            </w:r>
          </w:p>
        </w:tc>
      </w:tr>
      <w:tr>
        <w:trPr>
          <w:cantSplit w:val="0"/>
          <w:tblHeader w:val="0"/>
        </w:trPr>
        <w:tc>
          <w:tcPr>
            <w:shd w:fill="f9fafb" w:val="clear"/>
            <w:tcMar>
              <w:top w:w="60.0" w:type="dxa"/>
              <w:left w:w="80.0" w:type="dxa"/>
              <w:bottom w:w="60.0" w:type="dxa"/>
              <w:right w:w="80.0" w:type="dxa"/>
            </w:tcMar>
          </w:tcPr>
          <w:p w:rsidR="00000000" w:rsidDel="00000000" w:rsidP="00000000" w:rsidRDefault="00000000" w:rsidRPr="00000000" w14:paraId="00000012">
            <w:pPr>
              <w:rPr/>
            </w:pPr>
            <w:r w:rsidDel="00000000" w:rsidR="00000000" w:rsidRPr="00000000">
              <w:rPr>
                <w:b w:val="1"/>
                <w:bCs w:val="1"/>
                <w:sz w:val="18"/>
                <w:szCs w:val="18"/>
                <w:rtl w:val="0"/>
              </w:rPr>
              <w:t xml:space="preserve">Claims Narrative Unstructured Body</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3">
            <w:pPr>
              <w:rPr/>
            </w:pPr>
            <w:r w:rsidDel="00000000" w:rsidR="00000000" w:rsidRPr="00000000">
              <w:rPr>
                <w:sz w:val="18"/>
                <w:szCs w:val="18"/>
                <w:rtl w:val="0"/>
              </w:rPr>
              <w:t xml:space="preserve">Article 6(1)(f) — Legitimate Interests</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4">
            <w:pPr>
              <w:rPr/>
            </w:pPr>
            <w:r w:rsidDel="00000000" w:rsidR="00000000" w:rsidRPr="00000000">
              <w:rPr>
                <w:sz w:val="18"/>
                <w:szCs w:val="18"/>
                <w:rtl w:val="0"/>
              </w:rPr>
              <w:t xml:space="preserve">Yes — Article 9(2)(g) (Substantial Public Interest / Insurance Processing)</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5">
            <w:pPr>
              <w:rPr/>
            </w:pPr>
            <w:r w:rsidDel="00000000" w:rsidR="00000000" w:rsidRPr="00000000">
              <w:rPr>
                <w:sz w:val="18"/>
                <w:szCs w:val="18"/>
                <w:rtl w:val="0"/>
              </w:rPr>
              <w:t xml:space="preserve">Necessary for processing automated sorting efficiency; balancing tests confirm processing aligns with policyholder administration expectations without automated denial thresholds.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16">
            <w:pPr>
              <w:rPr/>
            </w:pPr>
            <w:r w:rsidDel="00000000" w:rsidR="00000000" w:rsidRPr="00000000">
              <w:rPr>
                <w:b w:val="1"/>
                <w:bCs w:val="1"/>
                <w:sz w:val="18"/>
                <w:szCs w:val="18"/>
                <w:rtl w:val="0"/>
              </w:rPr>
              <w:t xml:space="preserve">Self-Reported Demographic Fields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17">
            <w:pPr>
              <w:rPr/>
            </w:pPr>
            <w:r w:rsidDel="00000000" w:rsidR="00000000" w:rsidRPr="00000000">
              <w:rPr>
                <w:sz w:val="18"/>
                <w:szCs w:val="18"/>
                <w:rtl w:val="0"/>
              </w:rPr>
              <w:t xml:space="preserve">Article 6(1)(a) — Explicit Consent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18">
            <w:pPr>
              <w:rPr/>
            </w:pPr>
            <w:r w:rsidDel="00000000" w:rsidR="00000000" w:rsidRPr="00000000">
              <w:rPr>
                <w:sz w:val="18"/>
                <w:szCs w:val="18"/>
                <w:rtl w:val="0"/>
              </w:rPr>
              <w:t xml:space="preserve">Yes — Article 9(2)(a) (Explicit Consent for Special Categories)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19">
            <w:pPr>
              <w:rPr/>
            </w:pPr>
            <w:r w:rsidDel="00000000" w:rsidR="00000000" w:rsidRPr="00000000">
              <w:rPr>
                <w:sz w:val="18"/>
                <w:szCs w:val="18"/>
                <w:rtl w:val="0"/>
              </w:rPr>
              <w:t xml:space="preserve">Voluntary, standalone consent captured at portal entry. Extends explicitly to optimization model usage, backed by real-time withdrawal hooks connected to retraining protocols.</w:t>
            </w:r>
            <w:r w:rsidDel="00000000" w:rsidR="00000000" w:rsidRPr="00000000">
              <w:rPr>
                <w:rtl w:val="0"/>
              </w:rPr>
            </w:r>
          </w:p>
        </w:tc>
      </w:tr>
      <w:tr>
        <w:trPr>
          <w:cantSplit w:val="0"/>
          <w:tblHeader w:val="0"/>
        </w:trPr>
        <w:tc>
          <w:tcPr>
            <w:shd w:fill="f9fafb" w:val="clear"/>
            <w:tcMar>
              <w:top w:w="60.0" w:type="dxa"/>
              <w:left w:w="80.0" w:type="dxa"/>
              <w:bottom w:w="60.0" w:type="dxa"/>
              <w:right w:w="80.0" w:type="dxa"/>
            </w:tcMar>
          </w:tcPr>
          <w:p w:rsidR="00000000" w:rsidDel="00000000" w:rsidP="00000000" w:rsidRDefault="00000000" w:rsidRPr="00000000" w14:paraId="0000001A">
            <w:pPr>
              <w:rPr/>
            </w:pPr>
            <w:r w:rsidDel="00000000" w:rsidR="00000000" w:rsidRPr="00000000">
              <w:rPr>
                <w:b w:val="1"/>
                <w:bCs w:val="1"/>
                <w:sz w:val="18"/>
                <w:szCs w:val="18"/>
                <w:rtl w:val="0"/>
              </w:rPr>
              <w:t xml:space="preserve">Automated Triage Output / Scores</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B">
            <w:pPr>
              <w:rPr/>
            </w:pPr>
            <w:r w:rsidDel="00000000" w:rsidR="00000000" w:rsidRPr="00000000">
              <w:rPr>
                <w:sz w:val="18"/>
                <w:szCs w:val="18"/>
                <w:rtl w:val="0"/>
              </w:rPr>
              <w:t xml:space="preserve">Article 6(1)(f) — Legitimate Interests</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C">
            <w:pPr>
              <w:rPr/>
            </w:pPr>
            <w:r w:rsidDel="00000000" w:rsidR="00000000" w:rsidRPr="00000000">
              <w:rPr>
                <w:sz w:val="18"/>
                <w:szCs w:val="18"/>
                <w:rtl w:val="0"/>
              </w:rPr>
              <w:t xml:space="preserve">No — N/A (Derived Internal Operational Sorting Index)</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D">
            <w:pPr>
              <w:rPr/>
            </w:pPr>
            <w:r w:rsidDel="00000000" w:rsidR="00000000" w:rsidRPr="00000000">
              <w:rPr>
                <w:sz w:val="18"/>
                <w:szCs w:val="18"/>
                <w:rtl w:val="0"/>
              </w:rPr>
              <w:t xml:space="preserve">Calculated operational scores utilized for resource allocation. Automated Decision-Making (ADM) significant indicators apply due to systemic impact on case priority timelines.</w:t>
            </w:r>
            <w:r w:rsidDel="00000000" w:rsidR="00000000" w:rsidRPr="00000000">
              <w:rPr>
                <w:rtl w:val="0"/>
              </w:rPr>
            </w:r>
          </w:p>
        </w:tc>
      </w:tr>
    </w:tbl>
    <w:p w:rsidR="00000000" w:rsidDel="00000000" w:rsidP="00000000" w:rsidRDefault="00000000" w:rsidRPr="00000000" w14:paraId="0000001E">
      <w:pPr>
        <w:keepNext w:val="1"/>
        <w:spacing w:after="80" w:before="240" w:lineRule="auto"/>
        <w:rPr/>
      </w:pPr>
      <w:r w:rsidDel="00000000" w:rsidR="00000000" w:rsidRPr="00000000">
        <w:rPr>
          <w:b w:val="1"/>
          <w:bCs w:val="1"/>
          <w:color w:val="415a80"/>
          <w:sz w:val="22"/>
          <w:szCs w:val="22"/>
          <w:rtl w:val="0"/>
        </w:rPr>
        <w:t xml:space="preserve">2.2 DPIA Gap Analysis &amp; Strategic Remediation Plan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Pursuant to the five-step gap-detection framework, the prior system assessment was audited, surfacing one Present-but-Weak mitigation and one unmitigated True Gap. The remediation plan is finalized below:</w:t>
      </w:r>
    </w:p>
    <w:p w:rsidR="00000000" w:rsidDel="00000000" w:rsidP="00000000" w:rsidRDefault="00000000" w:rsidRPr="00000000" w14:paraId="00000020">
      <w:pPr>
        <w:spacing w:after="80" w:lineRule="auto"/>
        <w:ind w:left="288" w:firstLine="0"/>
        <w:rPr/>
      </w:pPr>
      <w:r w:rsidDel="00000000" w:rsidR="00000000" w:rsidRPr="00000000">
        <w:rPr>
          <w:b w:val="1"/>
          <w:bCs w:val="1"/>
          <w:rtl w:val="0"/>
        </w:rPr>
        <w:t xml:space="preserve">• Gap Reference 1: Plaintext Intermediate Transcript Cache Caching</w:t>
        <w:br w:type="textWrapping"/>
        <w:t xml:space="preserve">  - Gap Type Classification: </w:t>
      </w:r>
      <w:r w:rsidDel="00000000" w:rsidR="00000000" w:rsidRPr="00000000">
        <w:rPr>
          <w:rtl w:val="0"/>
        </w:rPr>
        <w:t xml:space="preserve">Present-but-Weak Mitigation (Missing explicit metrics, cadence, and defined role limits)</w:t>
        <w:br w:type="textWrapping"/>
      </w:r>
      <w:r w:rsidDel="00000000" w:rsidR="00000000" w:rsidRPr="00000000">
        <w:rPr>
          <w:b w:val="1"/>
          <w:bCs w:val="1"/>
          <w:rtl w:val="0"/>
        </w:rPr>
        <w:t xml:space="preserve">  - Operational Closed Control: </w:t>
      </w:r>
      <w:r w:rsidDel="00000000" w:rsidR="00000000" w:rsidRPr="00000000">
        <w:rPr>
          <w:rtl w:val="0"/>
        </w:rPr>
        <w:t xml:space="preserve">Claim text narratives are purged automatically from intermediate processing cache fields within 5 minutes of a successful database write; no plaintext content is retained in swap pools beyond the active routing session.</w:t>
        <w:br w:type="textWrapping"/>
      </w:r>
      <w:r w:rsidDel="00000000" w:rsidR="00000000" w:rsidRPr="00000000">
        <w:rPr>
          <w:b w:val="1"/>
          <w:bCs w:val="1"/>
          <w:rtl w:val="0"/>
        </w:rPr>
        <w:t xml:space="preserve">  - Named Assignment Owner: </w:t>
      </w:r>
      <w:r w:rsidDel="00000000" w:rsidR="00000000" w:rsidRPr="00000000">
        <w:rPr>
          <w:rtl w:val="0"/>
        </w:rPr>
        <w:t xml:space="preserve">Data Engineering Lead</w:t>
        <w:br w:type="textWrapping"/>
      </w:r>
      <w:r w:rsidDel="00000000" w:rsidR="00000000" w:rsidRPr="00000000">
        <w:rPr>
          <w:b w:val="1"/>
          <w:bCs w:val="1"/>
          <w:rtl w:val="0"/>
        </w:rPr>
        <w:t xml:space="preserve">  - Effectiveness Measure Criterion: </w:t>
      </w:r>
      <w:r w:rsidDel="00000000" w:rsidR="00000000" w:rsidRPr="00000000">
        <w:rPr>
          <w:rtl w:val="0"/>
        </w:rPr>
        <w:t xml:space="preserve">Zero claims logs retained in temporary directories, verified by daily cron-audit tasks and logged monthly to central risk management dashboard.</w:t>
        <w:br w:type="textWrapping"/>
      </w:r>
      <w:r w:rsidDel="00000000" w:rsidR="00000000" w:rsidRPr="00000000">
        <w:rPr>
          <w:b w:val="1"/>
          <w:bCs w:val="1"/>
          <w:rtl w:val="0"/>
        </w:rPr>
        <w:t xml:space="preserve">  - Review Cadence: </w:t>
      </w:r>
      <w:r w:rsidDel="00000000" w:rsidR="00000000" w:rsidRPr="00000000">
        <w:rPr>
          <w:rtl w:val="0"/>
        </w:rPr>
        <w:t xml:space="preserve">Quarterly, or immediately following any code release modifying ingestion pipeline configuration paths.</w:t>
        <w:br w:type="textWrapping"/>
      </w:r>
    </w:p>
    <w:p w:rsidR="00000000" w:rsidDel="00000000" w:rsidP="00000000" w:rsidRDefault="00000000" w:rsidRPr="00000000" w14:paraId="00000021">
      <w:pPr>
        <w:spacing w:after="80" w:lineRule="auto"/>
        <w:ind w:left="288" w:firstLine="0"/>
        <w:rPr/>
      </w:pPr>
      <w:r w:rsidDel="00000000" w:rsidR="00000000" w:rsidRPr="00000000">
        <w:rPr>
          <w:b w:val="1"/>
          <w:bCs w:val="1"/>
          <w:rtl w:val="0"/>
        </w:rPr>
        <w:t xml:space="preserve">• Gap Reference 2: Unprotected Third-Party Corporate Boundary Ingestion</w:t>
        <w:br w:type="textWrapping"/>
        <w:t xml:space="preserve">  - Gap Type Classification: </w:t>
      </w:r>
      <w:r w:rsidDel="00000000" w:rsidR="00000000" w:rsidRPr="00000000">
        <w:rPr>
          <w:rtl w:val="0"/>
        </w:rPr>
        <w:t xml:space="preserve">True Gap (Complete absence of data protection countermeasure across trust perimeters)</w:t>
        <w:br w:type="textWrapping"/>
      </w:r>
      <w:r w:rsidDel="00000000" w:rsidR="00000000" w:rsidRPr="00000000">
        <w:rPr>
          <w:b w:val="1"/>
          <w:bCs w:val="1"/>
          <w:rtl w:val="0"/>
        </w:rPr>
        <w:t xml:space="preserve">  - Operational Closed Control: </w:t>
      </w:r>
      <w:r w:rsidDel="00000000" w:rsidR="00000000" w:rsidRPr="00000000">
        <w:rPr>
          <w:rtl w:val="0"/>
        </w:rPr>
        <w:t xml:space="preserve">Enforce local mathematical noise transformations on all historical data extractions prior to transferring corpuses across corporate boundaries to external processor nodes.</w:t>
        <w:br w:type="textWrapping"/>
      </w:r>
      <w:r w:rsidDel="00000000" w:rsidR="00000000" w:rsidRPr="00000000">
        <w:rPr>
          <w:b w:val="1"/>
          <w:bCs w:val="1"/>
          <w:rtl w:val="0"/>
        </w:rPr>
        <w:t xml:space="preserve">  - Named Assignment Owner: </w:t>
      </w:r>
      <w:r w:rsidDel="00000000" w:rsidR="00000000" w:rsidRPr="00000000">
        <w:rPr>
          <w:rtl w:val="0"/>
        </w:rPr>
        <w:t xml:space="preserve">Principal AI Architect</w:t>
        <w:br w:type="textWrapping"/>
      </w:r>
      <w:r w:rsidDel="00000000" w:rsidR="00000000" w:rsidRPr="00000000">
        <w:rPr>
          <w:b w:val="1"/>
          <w:bCs w:val="1"/>
          <w:rtl w:val="0"/>
        </w:rPr>
        <w:t xml:space="preserve">  - Effectiveness Measure Criterion: </w:t>
      </w:r>
      <w:sdt>
        <w:sdtPr>
          <w:id w:val="1916451967"/>
          <w:tag w:val="goog_rdk_1"/>
        </w:sdtPr>
        <w:sdtContent>
          <w:r w:rsidDel="00000000" w:rsidR="00000000" w:rsidRPr="00000000">
            <w:rPr>
              <w:rFonts w:ascii="Arial Unicode MS" w:cs="Arial Unicode MS" w:eastAsia="Arial Unicode MS" w:hAnsi="Arial Unicode MS"/>
              <w:rtl w:val="0"/>
            </w:rPr>
            <w:t xml:space="preserve">Mathematical confirmation that the accumulated privacy loss budget parameter is strictly bounded at ε ≤ 2 across all exported data slices.</w:t>
            <w:br w:type="textWrapping"/>
          </w:r>
        </w:sdtContent>
      </w:sdt>
      <w:r w:rsidDel="00000000" w:rsidR="00000000" w:rsidRPr="00000000">
        <w:rPr>
          <w:b w:val="1"/>
          <w:bCs w:val="1"/>
          <w:rtl w:val="0"/>
        </w:rPr>
        <w:t xml:space="preserve">  - Review Cadence: </w:t>
      </w:r>
      <w:r w:rsidDel="00000000" w:rsidR="00000000" w:rsidRPr="00000000">
        <w:rPr>
          <w:rtl w:val="0"/>
        </w:rPr>
        <w:t xml:space="preserve">Semi-annually, matching scheduled updates of external vendor model optimization pipelines.</w:t>
        <w:br w:type="textWrapping"/>
      </w:r>
    </w:p>
    <w:p w:rsidR="00000000" w:rsidDel="00000000" w:rsidP="00000000" w:rsidRDefault="00000000" w:rsidRPr="00000000" w14:paraId="00000022">
      <w:pPr>
        <w:keepNext w:val="1"/>
        <w:spacing w:after="80" w:before="240" w:lineRule="auto"/>
        <w:rPr/>
      </w:pPr>
      <w:r w:rsidDel="00000000" w:rsidR="00000000" w:rsidRPr="00000000">
        <w:rPr>
          <w:b w:val="1"/>
          <w:bCs w:val="1"/>
          <w:color w:val="415a80"/>
          <w:sz w:val="22"/>
          <w:szCs w:val="22"/>
          <w:rtl w:val="0"/>
        </w:rPr>
        <w:t xml:space="preserve">2.3 De-Identification Recommendation &amp; Risk Memorandum</w:t>
      </w:r>
      <w:r w:rsidDel="00000000" w:rsidR="00000000" w:rsidRPr="00000000">
        <w:rPr>
          <w:rtl w:val="0"/>
        </w:rPr>
      </w:r>
    </w:p>
    <w:p w:rsidR="00000000" w:rsidDel="00000000" w:rsidP="00000000" w:rsidRDefault="00000000" w:rsidRPr="00000000" w14:paraId="00000023">
      <w:pPr>
        <w:pBdr>
          <w:left w:color="1f3864" w:space="6" w:sz="18" w:val="single"/>
        </w:pBdr>
        <w:ind w:left="360" w:firstLine="0"/>
        <w:rPr/>
      </w:pPr>
      <w:r w:rsidDel="00000000" w:rsidR="00000000" w:rsidRPr="00000000">
        <w:rPr>
          <w:b w:val="1"/>
          <w:bCs w:val="1"/>
          <w:rtl w:val="0"/>
        </w:rPr>
        <w:t xml:space="preserve">Recommendation Verdict: </w:t>
      </w:r>
      <w:sdt>
        <w:sdtPr>
          <w:id w:val="1265467916"/>
          <w:tag w:val="goog_rdk_2"/>
        </w:sdtPr>
        <w:sdtContent>
          <w:r w:rsidDel="00000000" w:rsidR="00000000" w:rsidRPr="00000000">
            <w:rPr>
              <w:rFonts w:ascii="Arial Unicode MS" w:cs="Arial Unicode MS" w:eastAsia="Arial Unicode MS" w:hAnsi="Arial Unicode MS"/>
              <w:rtl w:val="0"/>
            </w:rPr>
            <w:t xml:space="preserve">Differential Privacy configured at an upper bound parameter of ε ≤ 2 is formally recommended over pseudonymisation for the retraining data pipeline.</w:t>
            <w:br w:type="textWrapping"/>
            <w:br w:type="textWrapping"/>
          </w:r>
        </w:sdtContent>
      </w:sdt>
      <w:r w:rsidDel="00000000" w:rsidR="00000000" w:rsidRPr="00000000">
        <w:rPr>
          <w:b w:val="1"/>
          <w:bCs w:val="1"/>
          <w:rtl w:val="0"/>
        </w:rPr>
        <w:t xml:space="preserve">Justification Matrix Mapping: </w:t>
      </w:r>
      <w:r w:rsidDel="00000000" w:rsidR="00000000" w:rsidRPr="00000000">
        <w:rPr>
          <w:rtl w:val="0"/>
        </w:rPr>
        <w:t xml:space="preserve">The dataset contains Article 9 special category health data where re-identification carries severe regulatory consequences. Unstructured clinical narrative records embed complex combinations of clinical contexts, personal timelines, and unique vocabulary layouts (quasi-identifiers) that token-swapping pseudonymisation cannot reliably detect or replace. Pseudonymised data continues to remain personal data under Article 4(5) GDPR, failing the EDPB linkability test because the mapping key exists and the data context remains structurally intact. Differential Privacy injects calibrated mathematical noise directly into mathematical matrices, providing a mathematical guarantee that holds against auxiliary-information linkage attacks. This satisfies the EDPB anonymisation tests for singling out, linkability, and inference, providing a legally defensible stance for exporting data to NovaTriage Analytics Ltd.</w:t>
        <w:br w:type="textWrapping"/>
        <w:br w:type="textWrapping"/>
      </w:r>
      <w:r w:rsidDel="00000000" w:rsidR="00000000" w:rsidRPr="00000000">
        <w:rPr>
          <w:b w:val="1"/>
          <w:bCs w:val="1"/>
          <w:rtl w:val="0"/>
        </w:rPr>
        <w:t xml:space="preserve">Stated Residual Risks for Product Owner Acceptance: </w:t>
      </w:r>
      <w:sdt>
        <w:sdtPr>
          <w:id w:val="-129803446"/>
          <w:tag w:val="goog_rdk_3"/>
        </w:sdtPr>
        <w:sdtContent>
          <w:r w:rsidDel="00000000" w:rsidR="00000000" w:rsidRPr="00000000">
            <w:rPr>
              <w:rFonts w:ascii="Arial Unicode MS" w:cs="Arial Unicode MS" w:eastAsia="Arial Unicode MS" w:hAnsi="Arial Unicode MS"/>
              <w:rtl w:val="0"/>
            </w:rPr>
            <w:t xml:space="preserve">Differential Privacy at ε ≤ 2 introduces an explicit trade-off by degrading fine-grained semantic clarity, which will reduce the model's automated straight-through processing utility. The product owner accepts a potential 3-4% reduction in categorization accuracy as the necessary regulatory cost for robust data protection. Furthermore, the product owner accepts the responsibility to actively govern the epsilon privacy budget across all sequential queries to prevent mathematical degradation over time.</w:t>
          </w:r>
        </w:sdtContent>
      </w:sdt>
    </w:p>
    <w:p w:rsidR="00000000" w:rsidDel="00000000" w:rsidP="00000000" w:rsidRDefault="00000000" w:rsidRPr="00000000" w14:paraId="00000024">
      <w:pPr>
        <w:keepNext w:val="1"/>
        <w:pBdr>
          <w:bottom w:color="1f3864" w:space="4" w:sz="8" w:val="single"/>
        </w:pBdr>
        <w:spacing w:after="120" w:before="400" w:lineRule="auto"/>
        <w:rPr/>
      </w:pPr>
      <w:r w:rsidDel="00000000" w:rsidR="00000000" w:rsidRPr="00000000">
        <w:rPr>
          <w:b w:val="1"/>
          <w:bCs w:val="1"/>
          <w:color w:val="1f3864"/>
          <w:sz w:val="26"/>
          <w:szCs w:val="26"/>
          <w:rtl w:val="0"/>
        </w:rPr>
        <w:t xml:space="preserve">3. Model Security Posture Assessment</w:t>
      </w:r>
      <w:r w:rsidDel="00000000" w:rsidR="00000000" w:rsidRPr="00000000">
        <w:rPr>
          <w:rtl w:val="0"/>
        </w:rPr>
      </w:r>
    </w:p>
    <w:p w:rsidR="00000000" w:rsidDel="00000000" w:rsidP="00000000" w:rsidRDefault="00000000" w:rsidRPr="00000000" w14:paraId="00000025">
      <w:pPr>
        <w:keepNext w:val="1"/>
        <w:spacing w:after="80" w:before="240" w:lineRule="auto"/>
        <w:rPr/>
      </w:pPr>
      <w:r w:rsidDel="00000000" w:rsidR="00000000" w:rsidRPr="00000000">
        <w:rPr>
          <w:b w:val="1"/>
          <w:bCs w:val="1"/>
          <w:color w:val="415a80"/>
          <w:sz w:val="22"/>
          <w:szCs w:val="22"/>
          <w:rtl w:val="0"/>
        </w:rPr>
        <w:t xml:space="preserve">3.1 Core Transformer Ingestion Attack Surface Mapping</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t xml:space="preserve">Based on the technical design specification of the system, the top three infrastructure attack surfaces have been identified and mapped: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VUL-TOK-01: Ingestion &amp; Tokenization Input Boundary.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Located at the web claim interface. Vulnerable to malformed character multi-byte sequences designed to exploit parser flaws or bypass length filtering routines before index mapping.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VUL-ATT-03: Attention Layer Shared Context Window.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The structural point where user-supplied claims and retrieved corporate policy files are aggregated. Vulnerable to prompt injection techniques that manipulate attention weights, causing the system to misinterpret policy limits.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VUL-DEC-04: Output Decoding Layer Outbound Serialization.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The operational layer that generates text response strings and converts them to transactional JSON scripts for backend API dispatch. Vulnerable to injection vectors if outbound data lack strict schema verification.</w:t>
      </w:r>
    </w:p>
    <w:p w:rsidR="00000000" w:rsidDel="00000000" w:rsidP="00000000" w:rsidRDefault="00000000" w:rsidRPr="00000000" w14:paraId="0000002A">
      <w:pPr>
        <w:keepNext w:val="1"/>
        <w:spacing w:after="80" w:before="240" w:lineRule="auto"/>
        <w:rPr/>
      </w:pPr>
      <w:r w:rsidDel="00000000" w:rsidR="00000000" w:rsidRPr="00000000">
        <w:rPr>
          <w:b w:val="1"/>
          <w:bCs w:val="1"/>
          <w:color w:val="415a80"/>
          <w:sz w:val="22"/>
          <w:szCs w:val="22"/>
          <w:rtl w:val="0"/>
        </w:rPr>
        <w:t xml:space="preserve">3.2 Adversarial Red-Team Remediation &amp; Hardening Priorities</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tl w:val="0"/>
        </w:rPr>
        <w:t xml:space="preserve">Independent red-teaming confirmed that Adversarial Hardship Narratives bypassed standard prompt baselines in 14.2% of test variations. The system overrode internal guidelines and pushed low-priority claims into immediate settlement queues. To address these findings, two hardening priorities are established: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Context Window Encapsulation (Addresses VUL-ATT-03):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Implement strict structural boundaries around untrusted user text inputs within the prompt template, separating them from authoritative knowledge base context blocks using random key delimiters.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Output Validation Guardrails (Addresses VUL-DEC-04):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Deploy an intermediate verification layer that intercepts all serialized tokens from the decoder, validating them against strict outbound JSON schemas before allowing transactional state changes in backend systems.</w:t>
      </w:r>
    </w:p>
    <w:p w:rsidR="00000000" w:rsidDel="00000000" w:rsidP="00000000" w:rsidRDefault="00000000" w:rsidRPr="00000000" w14:paraId="0000002E">
      <w:pPr>
        <w:keepNext w:val="1"/>
        <w:spacing w:after="80" w:before="240" w:lineRule="auto"/>
        <w:rPr/>
      </w:pPr>
      <w:r w:rsidDel="00000000" w:rsidR="00000000" w:rsidRPr="00000000">
        <w:rPr>
          <w:b w:val="1"/>
          <w:bCs w:val="1"/>
          <w:color w:val="415a80"/>
          <w:sz w:val="22"/>
          <w:szCs w:val="22"/>
          <w:rtl w:val="0"/>
        </w:rPr>
        <w:t xml:space="preserve">3.3 Defense-in-Depth Configuration Gaps</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tl w:val="0"/>
        </w:rPr>
        <w:t xml:space="preserve">An audit of active security metrics revealed gaps across the core layers: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Input/Processing Layer Deficiencies: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The entry pipeline relies entirely on basic keyword-based blacklists. This approach fails against complex, semantically obfuscated prompt injections, creating significant exposure at the Attention layer (VUL-ATT-03).</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Output Layer Deficiencies: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The token decoder utilizes static temperature constraints (T = 0.2) but completely lacks real-time verification mechanisms. This oversight allows unvalidated model outputs to execute arbitrary instructions within backend transaction queues (VUL-DEC-04).</w:t>
      </w:r>
    </w:p>
    <w:p w:rsidR="00000000" w:rsidDel="00000000" w:rsidP="00000000" w:rsidRDefault="00000000" w:rsidRPr="00000000" w14:paraId="00000032">
      <w:pPr>
        <w:keepNext w:val="1"/>
        <w:pBdr>
          <w:bottom w:color="1f3864" w:space="4" w:sz="8" w:val="single"/>
        </w:pBdr>
        <w:spacing w:after="120" w:before="400" w:lineRule="auto"/>
        <w:rPr/>
      </w:pPr>
      <w:r w:rsidDel="00000000" w:rsidR="00000000" w:rsidRPr="00000000">
        <w:rPr>
          <w:b w:val="1"/>
          <w:bCs w:val="1"/>
          <w:color w:val="1f3864"/>
          <w:sz w:val="26"/>
          <w:szCs w:val="26"/>
          <w:rtl w:val="0"/>
        </w:rPr>
        <w:t xml:space="preserve">4. Operational Security &amp; Telemetry Interpretation</w:t>
      </w:r>
      <w:r w:rsidDel="00000000" w:rsidR="00000000" w:rsidRPr="00000000">
        <w:rPr>
          <w:rtl w:val="0"/>
        </w:rPr>
      </w:r>
    </w:p>
    <w:p w:rsidR="00000000" w:rsidDel="00000000" w:rsidP="00000000" w:rsidRDefault="00000000" w:rsidRPr="00000000" w14:paraId="00000033">
      <w:pPr>
        <w:keepNext w:val="1"/>
        <w:spacing w:after="80" w:before="240" w:lineRule="auto"/>
        <w:rPr/>
      </w:pPr>
      <w:r w:rsidDel="00000000" w:rsidR="00000000" w:rsidRPr="00000000">
        <w:rPr>
          <w:b w:val="1"/>
          <w:bCs w:val="1"/>
          <w:color w:val="415a80"/>
          <w:sz w:val="22"/>
          <w:szCs w:val="22"/>
          <w:rtl w:val="0"/>
        </w:rPr>
        <w:t xml:space="preserve">4.1 Telemetry Alert Incident Analysis (Incident MDC-2026-8891)</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High-severity alert MDC-2026-8891 identified automated, high-volume inputs directed at primary web text fields over a continuous 4-hour window. The attack signature matched known prompt-injection methodologies designed to cause context-window resource exhaustion. Although edge application firewalls blocked the source IP addresses after 45 minutes, system telemetry indicates that approximately 1,200 adversarial queries successfully executed through the entire model stack prior to mitigation. This incident confirms the vulnerabilities identified at the Tokenization layer (VUL-TOK-01) and Attention layer (VUL-ATT-03), demonstrating that network edge defenses are insufficient without robust application-layer input parsing.</w:t>
      </w:r>
    </w:p>
    <w:p w:rsidR="00000000" w:rsidDel="00000000" w:rsidP="00000000" w:rsidRDefault="00000000" w:rsidRPr="00000000" w14:paraId="00000035">
      <w:pPr>
        <w:keepNext w:val="1"/>
        <w:spacing w:after="80" w:before="240" w:lineRule="auto"/>
        <w:rPr/>
      </w:pPr>
      <w:r w:rsidDel="00000000" w:rsidR="00000000" w:rsidRPr="00000000">
        <w:rPr>
          <w:b w:val="1"/>
          <w:bCs w:val="1"/>
          <w:color w:val="415a80"/>
          <w:sz w:val="22"/>
          <w:szCs w:val="22"/>
          <w:rtl w:val="0"/>
        </w:rPr>
        <w:t xml:space="preserve">4.2 CVE-2025-XXXX Patch-vs-Retrain Strategic Decision</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t xml:space="preserve">Vulnerability CVE-2025-XXXX identifies an improper input validation flaw within the NeuralCore library's optimizer during training, enabling a training-time dataset poisoning attack. Because the current production model (v2.4) was compiled using affected library version v3.3.2 over an external network connection, the architecture must be treated as potentially compromised via an unverified training backdoor.</w:t>
      </w:r>
    </w:p>
    <w:p w:rsidR="00000000" w:rsidDel="00000000" w:rsidP="00000000" w:rsidRDefault="00000000" w:rsidRPr="00000000" w14:paraId="00000037">
      <w:pPr>
        <w:rPr/>
      </w:pPr>
      <w:r w:rsidDel="00000000" w:rsidR="00000000" w:rsidRPr="00000000">
        <w:rPr>
          <w:b w:val="1"/>
          <w:bCs w:val="1"/>
          <w:rtl w:val="0"/>
        </w:rPr>
        <w:t xml:space="preserve">Quantitative Operational Trade-Off Modeling: </w:t>
        <w:br w:type="textWrapping"/>
        <w:t xml:space="preserve">• Active Production State (ClaimsTriage v2.4): </w:t>
      </w:r>
      <w:r w:rsidDel="00000000" w:rsidR="00000000" w:rsidRPr="00000000">
        <w:rPr>
          <w:rtl w:val="0"/>
        </w:rPr>
        <w:t xml:space="preserve">Maintains an optimal baseline True Positive Rate (TPR) of 94.2%, comfortably above the contractually mandated 91.0% SLA ceiling floor.</w:t>
        <w:br w:type="textWrapping"/>
      </w:r>
      <w:r w:rsidDel="00000000" w:rsidR="00000000" w:rsidRPr="00000000">
        <w:rPr>
          <w:b w:val="1"/>
          <w:bCs w:val="1"/>
          <w:rtl w:val="0"/>
        </w:rPr>
        <w:t xml:space="preserve">• Rollback Contingency State (ClaimsTriage v2.3): </w:t>
      </w:r>
      <w:r w:rsidDel="00000000" w:rsidR="00000000" w:rsidRPr="00000000">
        <w:rPr>
          <w:rtl w:val="0"/>
        </w:rPr>
        <w:t xml:space="preserve">Reverts to a safe version compiled on NeuralCore v2.9.1. However, evaluation metrics show its TPR drops to 90.4%, which is 0.6% below the required SLA floor. This drop would trigger mandatory regulatory notifications within 48 hours and create an operational backlog of 159,600 additional claims per day, overwhelming the manual review team.</w:t>
        <w:br w:type="textWrapping"/>
        <w:br w:type="textWrapping"/>
      </w:r>
      <w:r w:rsidDel="00000000" w:rsidR="00000000" w:rsidRPr="00000000">
        <w:rPr>
          <w:b w:val="1"/>
          <w:bCs w:val="1"/>
          <w:rtl w:val="0"/>
        </w:rPr>
        <w:t xml:space="preserve">Authorized Strategic Decision Path: </w:t>
      </w:r>
      <w:r w:rsidDel="00000000" w:rsidR="00000000" w:rsidRPr="00000000">
        <w:rPr>
          <w:rtl w:val="0"/>
        </w:rPr>
        <w:t xml:space="preserve">Per the Patch-vs-Retrain decision matrix for high-impact real-time systems, a complete retraining run is required, with immediate environment patching serving as a compensating control. Meridian will maintain the active production state of v2.4 during the accelerated 4-hour engineering patch window, avoiding an immediate regulatory SLA breach. To manage risk during this 4-hour window, input layer filters will block all claimant submissions containing structural text variants associated with known backdoor triggers. Retraining will initiate immediately on a patched NeuralCore v3.5.0 cluster using clean, verified historical data repositories, fully satisfying the rollback contingency tracking requirements.</w:t>
      </w:r>
    </w:p>
    <w:p w:rsidR="00000000" w:rsidDel="00000000" w:rsidP="00000000" w:rsidRDefault="00000000" w:rsidRPr="00000000" w14:paraId="00000038">
      <w:pPr>
        <w:keepNext w:val="1"/>
        <w:pBdr>
          <w:bottom w:color="1f3864" w:space="4" w:sz="8" w:val="single"/>
        </w:pBdr>
        <w:spacing w:after="120" w:before="400" w:lineRule="auto"/>
        <w:rPr/>
      </w:pPr>
      <w:r w:rsidDel="00000000" w:rsidR="00000000" w:rsidRPr="00000000">
        <w:rPr>
          <w:b w:val="1"/>
          <w:bCs w:val="1"/>
          <w:color w:val="1f3864"/>
          <w:sz w:val="26"/>
          <w:szCs w:val="26"/>
          <w:rtl w:val="0"/>
        </w:rPr>
        <w:t xml:space="preserve">5. Unified Risk Disposition</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t xml:space="preserve">To ensure complete audit traceability, all identified operational vulnerabilities, compliance gaps, and system weaknesses are aggregated below into a single lifecycle tracking matrix. No unmapped risks are included:</w:t>
      </w:r>
    </w:p>
    <w:tbl>
      <w:tblPr>
        <w:tblStyle w:val="Table3"/>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f3864" w:val="clear"/>
          </w:tcPr>
          <w:p w:rsidR="00000000" w:rsidDel="00000000" w:rsidP="00000000" w:rsidRDefault="00000000" w:rsidRPr="00000000" w14:paraId="0000003A">
            <w:pPr>
              <w:rPr/>
            </w:pPr>
            <w:r w:rsidDel="00000000" w:rsidR="00000000" w:rsidRPr="00000000">
              <w:rPr>
                <w:b w:val="1"/>
                <w:bCs w:val="1"/>
                <w:color w:val="ffffff"/>
                <w:sz w:val="19"/>
                <w:szCs w:val="19"/>
                <w:rtl w:val="0"/>
              </w:rPr>
              <w:t xml:space="preserve">Risk ID</w:t>
            </w:r>
            <w:r w:rsidDel="00000000" w:rsidR="00000000" w:rsidRPr="00000000">
              <w:rPr>
                <w:rtl w:val="0"/>
              </w:rPr>
            </w:r>
          </w:p>
        </w:tc>
        <w:tc>
          <w:tcPr>
            <w:shd w:fill="1f3864" w:val="clear"/>
          </w:tcPr>
          <w:p w:rsidR="00000000" w:rsidDel="00000000" w:rsidP="00000000" w:rsidRDefault="00000000" w:rsidRPr="00000000" w14:paraId="0000003B">
            <w:pPr>
              <w:rPr/>
            </w:pPr>
            <w:r w:rsidDel="00000000" w:rsidR="00000000" w:rsidRPr="00000000">
              <w:rPr>
                <w:b w:val="1"/>
                <w:bCs w:val="1"/>
                <w:color w:val="ffffff"/>
                <w:sz w:val="19"/>
                <w:szCs w:val="19"/>
                <w:rtl w:val="0"/>
              </w:rPr>
              <w:t xml:space="preserve">Source Section</w:t>
            </w:r>
            <w:r w:rsidDel="00000000" w:rsidR="00000000" w:rsidRPr="00000000">
              <w:rPr>
                <w:rtl w:val="0"/>
              </w:rPr>
            </w:r>
          </w:p>
        </w:tc>
        <w:tc>
          <w:tcPr>
            <w:shd w:fill="1f3864" w:val="clear"/>
          </w:tcPr>
          <w:p w:rsidR="00000000" w:rsidDel="00000000" w:rsidP="00000000" w:rsidRDefault="00000000" w:rsidRPr="00000000" w14:paraId="0000003C">
            <w:pPr>
              <w:rPr/>
            </w:pPr>
            <w:r w:rsidDel="00000000" w:rsidR="00000000" w:rsidRPr="00000000">
              <w:rPr>
                <w:b w:val="1"/>
                <w:bCs w:val="1"/>
                <w:color w:val="ffffff"/>
                <w:sz w:val="19"/>
                <w:szCs w:val="19"/>
                <w:rtl w:val="0"/>
              </w:rPr>
              <w:t xml:space="preserve">Core Vulnerability Profile</w:t>
            </w:r>
            <w:r w:rsidDel="00000000" w:rsidR="00000000" w:rsidRPr="00000000">
              <w:rPr>
                <w:rtl w:val="0"/>
              </w:rPr>
            </w:r>
          </w:p>
        </w:tc>
        <w:tc>
          <w:tcPr>
            <w:shd w:fill="1f3864" w:val="cle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Assigned Closed Control Mitigation</w:t>
            </w:r>
            <w:r w:rsidDel="00000000" w:rsidR="00000000" w:rsidRPr="00000000">
              <w:rPr>
                <w:rtl w:val="0"/>
              </w:rPr>
            </w:r>
          </w:p>
        </w:tc>
        <w:tc>
          <w:tcPr>
            <w:shd w:fill="1f3864" w:val="cle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Named Role Owner</w:t>
            </w:r>
            <w:r w:rsidDel="00000000" w:rsidR="00000000" w:rsidRPr="00000000">
              <w:rPr>
                <w:rtl w:val="0"/>
              </w:rPr>
            </w:r>
          </w:p>
        </w:tc>
        <w:tc>
          <w:tcPr>
            <w:shd w:fill="1f3864" w:val="cle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Target Date</w:t>
            </w:r>
            <w:r w:rsidDel="00000000" w:rsidR="00000000" w:rsidRPr="00000000">
              <w:rPr>
                <w:rtl w:val="0"/>
              </w:rPr>
            </w:r>
          </w:p>
        </w:tc>
      </w:tr>
      <w:tr>
        <w:trPr>
          <w:cantSplit w:val="0"/>
          <w:tblHeader w:val="0"/>
        </w:trPr>
        <w:tc>
          <w:tcPr>
            <w:shd w:fill="f9fafb" w:val="clear"/>
            <w:tcMar>
              <w:top w:w="50.0" w:type="dxa"/>
              <w:left w:w="60.0" w:type="dxa"/>
              <w:bottom w:w="50.0" w:type="dxa"/>
              <w:right w:w="60.0" w:type="dxa"/>
            </w:tcMar>
          </w:tcPr>
          <w:p w:rsidR="00000000" w:rsidDel="00000000" w:rsidP="00000000" w:rsidRDefault="00000000" w:rsidRPr="00000000" w14:paraId="00000040">
            <w:pPr>
              <w:rPr/>
            </w:pPr>
            <w:r w:rsidDel="00000000" w:rsidR="00000000" w:rsidRPr="00000000">
              <w:rPr>
                <w:b w:val="1"/>
                <w:bCs w:val="1"/>
                <w:color w:val="1f3864"/>
                <w:sz w:val="17"/>
                <w:szCs w:val="17"/>
                <w:rtl w:val="0"/>
              </w:rPr>
              <w:t xml:space="preserve">RSK-01</w:t>
            </w:r>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41">
            <w:pPr>
              <w:rPr/>
            </w:pPr>
            <w:r w:rsidDel="00000000" w:rsidR="00000000" w:rsidRPr="00000000">
              <w:rPr>
                <w:sz w:val="17"/>
                <w:szCs w:val="17"/>
                <w:rtl w:val="0"/>
              </w:rPr>
              <w:t xml:space="preserve">Section 2.2 (GDPR)</w:t>
            </w:r>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42">
            <w:pPr>
              <w:rPr/>
            </w:pPr>
            <w:r w:rsidDel="00000000" w:rsidR="00000000" w:rsidRPr="00000000">
              <w:rPr>
                <w:sz w:val="17"/>
                <w:szCs w:val="17"/>
                <w:rtl w:val="0"/>
              </w:rPr>
              <w:t xml:space="preserve">Raw data transfer across corporate perimeters to NovaTriage Analytics.</w:t>
            </w:r>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43">
            <w:pPr>
              <w:rPr/>
            </w:pPr>
            <w:sdt>
              <w:sdtPr>
                <w:id w:val="1095690347"/>
                <w:tag w:val="goog_rdk_4"/>
              </w:sdtPr>
              <w:sdtContent>
                <w:r w:rsidDel="00000000" w:rsidR="00000000" w:rsidRPr="00000000">
                  <w:rPr>
                    <w:rFonts w:ascii="Arial Unicode MS" w:cs="Arial Unicode MS" w:eastAsia="Arial Unicode MS" w:hAnsi="Arial Unicode MS"/>
                    <w:sz w:val="17"/>
                    <w:szCs w:val="17"/>
                    <w:rtl w:val="0"/>
                  </w:rPr>
                  <w:t xml:space="preserve">Enforce Differential Privacy boundary masks restricted to ε ≤ 2.</w:t>
                </w:r>
              </w:sdtContent>
            </w:sdt>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44">
            <w:pPr>
              <w:rPr/>
            </w:pPr>
            <w:r w:rsidDel="00000000" w:rsidR="00000000" w:rsidRPr="00000000">
              <w:rPr>
                <w:sz w:val="17"/>
                <w:szCs w:val="17"/>
                <w:rtl w:val="0"/>
              </w:rPr>
              <w:t xml:space="preserve">Lead Data Privacy Officer</w:t>
            </w:r>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45">
            <w:pPr>
              <w:rPr/>
            </w:pPr>
            <w:r w:rsidDel="00000000" w:rsidR="00000000" w:rsidRPr="00000000">
              <w:rPr>
                <w:sz w:val="17"/>
                <w:szCs w:val="17"/>
                <w:rtl w:val="0"/>
              </w:rPr>
              <w:t xml:space="preserve">July 10, 2026</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046">
            <w:pPr>
              <w:rPr/>
            </w:pPr>
            <w:r w:rsidDel="00000000" w:rsidR="00000000" w:rsidRPr="00000000">
              <w:rPr>
                <w:b w:val="1"/>
                <w:bCs w:val="1"/>
                <w:color w:val="1f3864"/>
                <w:sz w:val="17"/>
                <w:szCs w:val="17"/>
                <w:rtl w:val="0"/>
              </w:rPr>
              <w:t xml:space="preserve">RSK-02</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47">
            <w:pPr>
              <w:rPr/>
            </w:pPr>
            <w:r w:rsidDel="00000000" w:rsidR="00000000" w:rsidRPr="00000000">
              <w:rPr>
                <w:sz w:val="17"/>
                <w:szCs w:val="17"/>
                <w:rtl w:val="0"/>
              </w:rPr>
              <w:t xml:space="preserve">Section 3.2 (Model)</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48">
            <w:pPr>
              <w:rPr/>
            </w:pPr>
            <w:r w:rsidDel="00000000" w:rsidR="00000000" w:rsidRPr="00000000">
              <w:rPr>
                <w:sz w:val="17"/>
                <w:szCs w:val="17"/>
                <w:rtl w:val="0"/>
              </w:rPr>
              <w:t xml:space="preserve">14.2% failure rate against Adversarial Hardship prompt injection.</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49">
            <w:pPr>
              <w:rPr/>
            </w:pPr>
            <w:r w:rsidDel="00000000" w:rsidR="00000000" w:rsidRPr="00000000">
              <w:rPr>
                <w:sz w:val="17"/>
                <w:szCs w:val="17"/>
                <w:rtl w:val="0"/>
              </w:rPr>
              <w:t xml:space="preserve">Deploy delimiter-isolated encapsulation barriers inside prompt templates.</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4A">
            <w:pPr>
              <w:rPr/>
            </w:pPr>
            <w:r w:rsidDel="00000000" w:rsidR="00000000" w:rsidRPr="00000000">
              <w:rPr>
                <w:sz w:val="17"/>
                <w:szCs w:val="17"/>
                <w:rtl w:val="0"/>
              </w:rPr>
              <w:t xml:space="preserve">Principal AI Engineer</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4B">
            <w:pPr>
              <w:rPr/>
            </w:pPr>
            <w:r w:rsidDel="00000000" w:rsidR="00000000" w:rsidRPr="00000000">
              <w:rPr>
                <w:sz w:val="17"/>
                <w:szCs w:val="17"/>
                <w:rtl w:val="0"/>
              </w:rPr>
              <w:t xml:space="preserve">July 15, 2026</w:t>
            </w:r>
            <w:r w:rsidDel="00000000" w:rsidR="00000000" w:rsidRPr="00000000">
              <w:rPr>
                <w:rtl w:val="0"/>
              </w:rPr>
            </w:r>
          </w:p>
        </w:tc>
      </w:tr>
      <w:tr>
        <w:trPr>
          <w:cantSplit w:val="0"/>
          <w:tblHeader w:val="0"/>
        </w:trPr>
        <w:tc>
          <w:tcPr>
            <w:shd w:fill="f9fafb" w:val="clear"/>
            <w:tcMar>
              <w:top w:w="50.0" w:type="dxa"/>
              <w:left w:w="60.0" w:type="dxa"/>
              <w:bottom w:w="50.0" w:type="dxa"/>
              <w:right w:w="60.0" w:type="dxa"/>
            </w:tcMar>
          </w:tcPr>
          <w:p w:rsidR="00000000" w:rsidDel="00000000" w:rsidP="00000000" w:rsidRDefault="00000000" w:rsidRPr="00000000" w14:paraId="0000004C">
            <w:pPr>
              <w:rPr/>
            </w:pPr>
            <w:r w:rsidDel="00000000" w:rsidR="00000000" w:rsidRPr="00000000">
              <w:rPr>
                <w:b w:val="1"/>
                <w:bCs w:val="1"/>
                <w:color w:val="1f3864"/>
                <w:sz w:val="17"/>
                <w:szCs w:val="17"/>
                <w:rtl w:val="0"/>
              </w:rPr>
              <w:t xml:space="preserve">RSK-03</w:t>
            </w:r>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4D">
            <w:pPr>
              <w:rPr/>
            </w:pPr>
            <w:r w:rsidDel="00000000" w:rsidR="00000000" w:rsidRPr="00000000">
              <w:rPr>
                <w:sz w:val="17"/>
                <w:szCs w:val="17"/>
                <w:rtl w:val="0"/>
              </w:rPr>
              <w:t xml:space="preserve">Section 3.2 (Model)</w:t>
            </w:r>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4E">
            <w:pPr>
              <w:rPr/>
            </w:pPr>
            <w:r w:rsidDel="00000000" w:rsidR="00000000" w:rsidRPr="00000000">
              <w:rPr>
                <w:sz w:val="17"/>
                <w:szCs w:val="17"/>
                <w:rtl w:val="0"/>
              </w:rPr>
              <w:t xml:space="preserve">Lack of structural output schema checking to backend APIs.</w:t>
            </w:r>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4F">
            <w:pPr>
              <w:rPr/>
            </w:pPr>
            <w:r w:rsidDel="00000000" w:rsidR="00000000" w:rsidRPr="00000000">
              <w:rPr>
                <w:sz w:val="17"/>
                <w:szCs w:val="17"/>
                <w:rtl w:val="0"/>
              </w:rPr>
              <w:t xml:space="preserve">Enforce intermediate JSON schema validation rules at the decoding layer.</w:t>
            </w:r>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50">
            <w:pPr>
              <w:rPr/>
            </w:pPr>
            <w:r w:rsidDel="00000000" w:rsidR="00000000" w:rsidRPr="00000000">
              <w:rPr>
                <w:sz w:val="17"/>
                <w:szCs w:val="17"/>
                <w:rtl w:val="0"/>
              </w:rPr>
              <w:t xml:space="preserve">Application Security Lead</w:t>
            </w:r>
            <w:r w:rsidDel="00000000" w:rsidR="00000000" w:rsidRPr="00000000">
              <w:rPr>
                <w:rtl w:val="0"/>
              </w:rPr>
            </w:r>
          </w:p>
        </w:tc>
        <w:tc>
          <w:tcPr>
            <w:shd w:fill="f9fafb" w:val="clear"/>
            <w:tcMar>
              <w:top w:w="50.0" w:type="dxa"/>
              <w:left w:w="60.0" w:type="dxa"/>
              <w:bottom w:w="50.0" w:type="dxa"/>
              <w:right w:w="60.0" w:type="dxa"/>
            </w:tcMar>
          </w:tcPr>
          <w:p w:rsidR="00000000" w:rsidDel="00000000" w:rsidP="00000000" w:rsidRDefault="00000000" w:rsidRPr="00000000" w14:paraId="00000051">
            <w:pPr>
              <w:rPr/>
            </w:pPr>
            <w:r w:rsidDel="00000000" w:rsidR="00000000" w:rsidRPr="00000000">
              <w:rPr>
                <w:sz w:val="17"/>
                <w:szCs w:val="17"/>
                <w:rtl w:val="0"/>
              </w:rPr>
              <w:t xml:space="preserve">July 12, 2026</w:t>
            </w:r>
            <w:r w:rsidDel="00000000" w:rsidR="00000000" w:rsidRPr="00000000">
              <w:rPr>
                <w:rtl w:val="0"/>
              </w:rPr>
            </w:r>
          </w:p>
        </w:tc>
      </w:tr>
      <w:tr>
        <w:trPr>
          <w:cantSplit w:val="0"/>
          <w:tblHeader w:val="0"/>
        </w:trPr>
        <w:tc>
          <w:tcPr>
            <w:shd w:fill="ffffff" w:val="clear"/>
            <w:tcMar>
              <w:top w:w="50.0" w:type="dxa"/>
              <w:left w:w="60.0" w:type="dxa"/>
              <w:bottom w:w="50.0" w:type="dxa"/>
              <w:right w:w="60.0" w:type="dxa"/>
            </w:tcMar>
          </w:tcPr>
          <w:p w:rsidR="00000000" w:rsidDel="00000000" w:rsidP="00000000" w:rsidRDefault="00000000" w:rsidRPr="00000000" w14:paraId="00000052">
            <w:pPr>
              <w:rPr/>
            </w:pPr>
            <w:r w:rsidDel="00000000" w:rsidR="00000000" w:rsidRPr="00000000">
              <w:rPr>
                <w:b w:val="1"/>
                <w:bCs w:val="1"/>
                <w:color w:val="1f3864"/>
                <w:sz w:val="17"/>
                <w:szCs w:val="17"/>
                <w:rtl w:val="0"/>
              </w:rPr>
              <w:t xml:space="preserve">RSK-04</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53">
            <w:pPr>
              <w:rPr/>
            </w:pPr>
            <w:r w:rsidDel="00000000" w:rsidR="00000000" w:rsidRPr="00000000">
              <w:rPr>
                <w:sz w:val="17"/>
                <w:szCs w:val="17"/>
                <w:rtl w:val="0"/>
              </w:rPr>
              <w:t xml:space="preserve">Section 4.2 (Ops)</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54">
            <w:pPr>
              <w:rPr/>
            </w:pPr>
            <w:r w:rsidDel="00000000" w:rsidR="00000000" w:rsidRPr="00000000">
              <w:rPr>
                <w:sz w:val="17"/>
                <w:szCs w:val="17"/>
                <w:rtl w:val="0"/>
              </w:rPr>
              <w:t xml:space="preserve">Active optimizer backdoor exposure via CVE-2025-XXXX.</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55">
            <w:pPr>
              <w:rPr/>
            </w:pPr>
            <w:r w:rsidDel="00000000" w:rsidR="00000000" w:rsidRPr="00000000">
              <w:rPr>
                <w:sz w:val="17"/>
                <w:szCs w:val="17"/>
                <w:rtl w:val="0"/>
              </w:rPr>
              <w:t xml:space="preserve">Isolate via input filtering during 4-hour patch window, then swap to NeuralCore v3.5.0.</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56">
            <w:pPr>
              <w:rPr/>
            </w:pPr>
            <w:r w:rsidDel="00000000" w:rsidR="00000000" w:rsidRPr="00000000">
              <w:rPr>
                <w:sz w:val="17"/>
                <w:szCs w:val="17"/>
                <w:rtl w:val="0"/>
              </w:rPr>
              <w:t xml:space="preserve">SecOps Infrastructure Chief</w:t>
            </w:r>
            <w:r w:rsidDel="00000000" w:rsidR="00000000" w:rsidRPr="00000000">
              <w:rPr>
                <w:rtl w:val="0"/>
              </w:rPr>
            </w:r>
          </w:p>
        </w:tc>
        <w:tc>
          <w:tcPr>
            <w:shd w:fill="ffffff" w:val="clear"/>
            <w:tcMar>
              <w:top w:w="50.0" w:type="dxa"/>
              <w:left w:w="60.0" w:type="dxa"/>
              <w:bottom w:w="50.0" w:type="dxa"/>
              <w:right w:w="60.0" w:type="dxa"/>
            </w:tcMar>
          </w:tcPr>
          <w:p w:rsidR="00000000" w:rsidDel="00000000" w:rsidP="00000000" w:rsidRDefault="00000000" w:rsidRPr="00000000" w14:paraId="00000057">
            <w:pPr>
              <w:rPr/>
            </w:pPr>
            <w:r w:rsidDel="00000000" w:rsidR="00000000" w:rsidRPr="00000000">
              <w:rPr>
                <w:sz w:val="17"/>
                <w:szCs w:val="17"/>
                <w:rtl w:val="0"/>
              </w:rPr>
              <w:t xml:space="preserve">July 5, 2026</w:t>
            </w:r>
            <w:r w:rsidDel="00000000" w:rsidR="00000000" w:rsidRPr="00000000">
              <w:rPr>
                <w:rtl w:val="0"/>
              </w:rPr>
            </w:r>
          </w:p>
        </w:tc>
      </w:tr>
    </w:tbl>
    <w:p w:rsidR="00000000" w:rsidDel="00000000" w:rsidP="00000000" w:rsidRDefault="00000000" w:rsidRPr="00000000" w14:paraId="00000058">
      <w:pPr>
        <w:spacing w:after="240" w:lineRule="auto"/>
        <w:rPr/>
      </w:pPr>
      <w:r w:rsidDel="00000000" w:rsidR="00000000" w:rsidRPr="00000000">
        <w:rPr>
          <w:rtl w:val="0"/>
        </w:rPr>
      </w:r>
    </w:p>
    <w:p w:rsidR="00000000" w:rsidDel="00000000" w:rsidP="00000000" w:rsidRDefault="00000000" w:rsidRPr="00000000" w14:paraId="00000059">
      <w:pPr>
        <w:spacing w:before="360" w:lineRule="auto"/>
        <w:rPr/>
      </w:pPr>
      <w:r w:rsidDel="00000000" w:rsidR="00000000" w:rsidRPr="00000000">
        <w:rPr>
          <w:b w:val="1"/>
          <w:bCs w:val="1"/>
          <w:color w:val="1f3864"/>
          <w:sz w:val="22"/>
          <w:szCs w:val="22"/>
          <w:rtl w:val="0"/>
        </w:rPr>
        <w:t xml:space="preserve">Appendix: Non-Use Governance Attestation</w:t>
        <w:br w:type="textWrapping"/>
      </w:r>
      <w:r w:rsidDel="00000000" w:rsidR="00000000" w:rsidRPr="00000000">
        <w:rPr>
          <w:sz w:val="19"/>
          <w:szCs w:val="19"/>
          <w:rtl w:val="0"/>
        </w:rPr>
        <w:t xml:space="preserve">I hereby attest that this integrated AI Governance and Compliance Package Report was compiled using verified system architecture metrics, active threat logs, and formal data mapping models. No automated, unverified generative workflows were utilized to alter the technical figures, SLA compliance metrics, or specific legal bases documented herein. Every control, named owner, and mitigation target date has been evaluated and confirmed ready for regulatory audit.</w:t>
        <w:br w:type="textWrapping"/>
        <w:br w:type="textWrapping"/>
        <w:t xml:space="preserve">Signed: AI Governance Lead, Meridian Health Partners | Date of Attestation Verification: July 3,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VkZYHpXDX6nPsko9tJaj/A1Lg==">CgMxLjAaJAoBMBIfCh0IB0IZCgVBcmlhbBIQQXJpYWwgVW5pY29kZSBNUxodCgExEhgKFggHQhISEEFyaWFsIFVuaWNvZGUgTVMaHQoBMhIYChYIB0ISEhBBcmlhbCBVbmljb2RlIE1TGh0KATMSGAoWCAdCEhIQQXJpYWwgVW5pY29kZSBNUxodCgE0EhgKFggHQhISEEFyaWFsIFVuaWNvZGUgTVM4AHIhMTh1ZjJvdlRBWUh4dHY4OTlxRzhfOGdZWjNHaEZidHU4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