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DPIA MITIGATION PLAN</w:t>
      </w:r>
    </w:p>
    <w:p>
      <w:pPr>
        <w:spacing w:after="240"/>
      </w:pPr>
      <w:r>
        <w:rPr>
          <w:rFonts w:ascii="Arial" w:cs="Arial" w:eastAsia="Arial" w:hAnsi="Arial"/>
          <w:color w:val="2E5496"/>
          <w:sz w:val="24"/>
          <w:szCs w:val="24"/>
        </w:rPr>
        <w:t xml:space="preserve">Insurance Claims Triage AI (ClaimsTriage) v2.4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Controller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Meridian Health Partners Ltd.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Document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DPIA-VTA-2024-003-MitigationPlan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Parent Assessment</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DPIA-VTA-2024-003</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Version / Classification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2.0  |  Internal — Restricted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Completed By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AI Governance Lead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Date Completed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3 July 2026</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Package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MHP-AI-GOV-2026-PKG01 (Privacy &amp; Secure Operations Compliance Package)</w:t>
            </w:r>
          </w:p>
        </w:tc>
      </w:tr>
    </w:tbl>
    <w:p>
      <w:pPr>
        <w:spacing w:after="20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F3864"/>
          <w:sz w:val="26"/>
          <w:szCs w:val="26"/>
        </w:rPr>
        <w:t xml:space="preserve">Part A — Gap Analysis Summary</w:t>
      </w:r>
    </w:p>
    <w:p>
      <w:pPr>
        <w:pStyle w:val="Heading2"/>
        <w:spacing w:after="120" w:before="240"/>
      </w:pPr>
      <w:r>
        <w:rPr>
          <w:rFonts w:ascii="Arial" w:cs="Arial" w:eastAsia="Arial" w:hAnsi="Arial"/>
          <w:b/>
          <w:bCs/>
          <w:color w:val="2E5496"/>
          <w:sz w:val="22"/>
          <w:szCs w:val="22"/>
        </w:rPr>
        <w:t xml:space="preserve">A.1  Methodology applied</w:t>
      </w:r>
    </w:p>
    <w:p>
      <w:pPr>
        <w:spacing w:after="100" w:before="0"/>
      </w:pPr>
      <w:r>
        <w:rPr>
          <w:rFonts w:ascii="Arial" w:cs="Arial" w:eastAsia="Arial" w:hAnsi="Arial"/>
          <w:sz w:val="20"/>
          <w:szCs w:val="20"/>
        </w:rPr>
        <w:t xml:space="preserve">A five-step gap-detection methodology was applied to the Insurance Claims Triage AI DPIA:</w:t>
      </w:r>
    </w:p>
    <w:p>
      <w:pPr>
        <w:spacing w:after="80"/>
        <w:ind w:left="280"/>
      </w:pPr>
      <w:r>
        <w:rPr>
          <w:rFonts w:ascii="Arial" w:cs="Arial" w:eastAsia="Arial" w:hAnsi="Arial"/>
          <w:sz w:val="19"/>
          <w:szCs w:val="19"/>
        </w:rPr>
        <w:t xml:space="preserve">Step 1 — Read Section 3 of the DPIA (Risk-to-Rights Assessment) in full and list every risk the DPIA author identified.</w:t>
      </w:r>
    </w:p>
    <w:p>
      <w:pPr>
        <w:spacing w:after="80"/>
        <w:ind w:left="280"/>
      </w:pPr>
      <w:r>
        <w:rPr>
          <w:rFonts w:ascii="Arial" w:cs="Arial" w:eastAsia="Arial" w:hAnsi="Arial"/>
          <w:sz w:val="19"/>
          <w:szCs w:val="19"/>
        </w:rPr>
        <w:t xml:space="preserve">Step 2 — Read each entry in Section 4 (Mitigation Measures) and map it to the Section 3 risk it addresses.</w:t>
      </w:r>
    </w:p>
    <w:p>
      <w:pPr>
        <w:spacing w:after="80"/>
        <w:ind w:left="280"/>
      </w:pPr>
      <w:r>
        <w:rPr>
          <w:rFonts w:ascii="Arial" w:cs="Arial" w:eastAsia="Arial" w:hAnsi="Arial"/>
          <w:sz w:val="19"/>
          <w:szCs w:val="19"/>
        </w:rPr>
        <w:t xml:space="preserve">Step 3 — Flag every Section 3 risk with no corresponding Section 4 entry. These are True Gaps.</w:t>
      </w:r>
    </w:p>
    <w:p>
      <w:pPr>
        <w:spacing w:after="80"/>
        <w:ind w:left="280"/>
      </w:pPr>
      <w:r>
        <w:rPr>
          <w:rFonts w:ascii="Arial" w:cs="Arial" w:eastAsia="Arial" w:hAnsi="Arial"/>
          <w:sz w:val="19"/>
          <w:szCs w:val="19"/>
        </w:rPr>
        <w:t xml:space="preserve">Step 4 — Test every Section 4 entry that does exist for four elements: a named control, a named owner, an effectiveness criterion, and a review cadence. Any entry missing one or more is a Present-but-Weak Mitigation.</w:t>
      </w:r>
    </w:p>
    <w:p>
      <w:pPr>
        <w:spacing w:after="80"/>
        <w:ind w:left="280"/>
      </w:pPr>
      <w:r>
        <w:rPr>
          <w:rFonts w:ascii="Arial" w:cs="Arial" w:eastAsia="Arial" w:hAnsi="Arial"/>
          <w:sz w:val="19"/>
          <w:szCs w:val="19"/>
        </w:rPr>
        <w:t xml:space="preserve">Step 5 — Compile the gap list and complete a mitigation entry for each.</w:t>
      </w:r>
    </w:p>
    <w:p>
      <w:pPr>
        <w:spacing w:after="100" w:before="120"/>
      </w:pPr>
      <w:r>
        <w:rPr>
          <w:rFonts w:ascii="Arial" w:cs="Arial" w:eastAsia="Arial" w:hAnsi="Arial"/>
          <w:sz w:val="20"/>
          <w:szCs w:val="20"/>
        </w:rPr>
        <w:t xml:space="preserve">A sixth step was added to this review, and it is the step that produced three of the seven gaps below:</w:t>
      </w:r>
    </w:p>
    <w:p>
      <w:pPr>
        <w:spacing w:after="120"/>
        <w:ind w:left="280"/>
      </w:pPr>
      <w:r>
        <w:rPr>
          <w:rFonts w:ascii="Arial" w:cs="Arial" w:eastAsia="Arial" w:hAnsi="Arial"/>
          <w:i/>
          <w:iCs/>
          <w:sz w:val="19"/>
          <w:szCs w:val="19"/>
        </w:rPr>
        <w:t xml:space="preserve">Step 6 — Test Section 3 itself for completeness. A risk the DPIA author never identified has no Section 4 entry either, and steps 1 to 5 cannot surface it: the methodology as written can only find gaps between two lists, not gaps in the first list. Section 3 was therefore re-tested against the deployment as described in the scenario package.</w:t>
      </w:r>
    </w:p>
    <w:p>
      <w:pPr>
        <w:pStyle w:val="Heading2"/>
        <w:spacing w:after="120" w:before="240"/>
      </w:pPr>
      <w:r>
        <w:rPr>
          <w:rFonts w:ascii="Arial" w:cs="Arial" w:eastAsia="Arial" w:hAnsi="Arial"/>
          <w:b/>
          <w:bCs/>
          <w:color w:val="2E5496"/>
          <w:sz w:val="22"/>
          <w:szCs w:val="22"/>
        </w:rPr>
        <w:t xml:space="preserve">A.2  What the analysis found</w:t>
      </w:r>
    </w:p>
    <w:p>
      <w:pPr>
        <w:spacing w:after="100" w:before="0"/>
      </w:pPr>
      <w:r>
        <w:rPr>
          <w:rFonts w:ascii="Arial" w:cs="Arial" w:eastAsia="Arial" w:hAnsi="Arial"/>
          <w:sz w:val="20"/>
          <w:szCs w:val="20"/>
        </w:rPr>
        <w:t xml:space="preserve">Seven gaps were identified across six mitigation categories: five True Gaps, where a risk had no corresponding control at all, and two Present-but-Weak Mitigations, where a control existed but omitted the owner, metric or cadence needed to make it operable.</w:t>
      </w:r>
    </w:p>
    <w:p>
      <w:pPr>
        <w:spacing w:after="100" w:before="0"/>
      </w:pPr>
      <w:r>
        <w:rPr>
          <w:rFonts w:ascii="Arial" w:cs="Arial" w:eastAsia="Arial" w:hAnsi="Arial"/>
          <w:sz w:val="20"/>
          <w:szCs w:val="20"/>
        </w:rPr>
        <w:t xml:space="preserve">Three of the five True Gaps were found by Step 6 — they were absent from Section 3 of the DPIA, from the scenario package's formal mitigation matrix, and from the compliance report template. They are GAP-05 (meaningful human review unevidenced), GAP-06 (no Chapter V transfer determination) and GAP-07 (no objection route or third-party notice).</w:t>
      </w:r>
    </w:p>
    <w:p>
      <w:pPr>
        <w:spacing w:after="100" w:before="0"/>
      </w:pPr>
      <w:r>
        <w:rPr>
          <w:rFonts w:ascii="Arial" w:cs="Arial" w:eastAsia="Arial" w:hAnsi="Arial"/>
          <w:sz w:val="20"/>
          <w:szCs w:val="20"/>
        </w:rPr>
        <w:t xml:space="preserve">GAP-05 is the most consequential entry in this plan. Every other gap concerns the security or governance of data within a lawful processing operation. GAP-05 concerns whether the processing operation is lawful at all: the deployment's Article 22 position rests on human review being meaningful, and nothing in the package evidences that it is.</w:t>
      </w:r>
    </w:p>
    <w:p>
      <w:pPr>
        <w:spacing w:after="100" w:before="0"/>
      </w:pPr>
      <w:r>
        <w:rPr>
          <w:rFonts w:ascii="Arial" w:cs="Arial" w:eastAsia="Arial" w:hAnsi="Arial"/>
          <w:sz w:val="20"/>
          <w:szCs w:val="20"/>
        </w:rPr>
        <w:t xml:space="preserve">One technical correction was made to a control inherited from the scenario package. The mitigation for cross-boundary export specified differential privacy applied to the corpus before transfer. DP-SGD perturbs gradients during training and does nothing to a dataset in transit or at rest on a vendor's infrastructure. The control is re-pointed at GAP-02: masking protects the export, DP-SGD protects the model.</w:t>
      </w:r>
    </w:p>
    <w:p>
      <w:pPr>
        <w:pStyle w:val="Heading2"/>
        <w:spacing w:after="120" w:before="240"/>
      </w:pPr>
      <w:r>
        <w:rPr>
          <w:rFonts w:ascii="Arial" w:cs="Arial" w:eastAsia="Arial" w:hAnsi="Arial"/>
          <w:b/>
          <w:bCs/>
          <w:color w:val="2E5496"/>
          <w:sz w:val="22"/>
          <w:szCs w:val="22"/>
        </w:rPr>
        <w:t xml:space="preserve">A.3  Gap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80"/>
        <w:gridCol w:w="1700"/>
        <w:gridCol w:w="1500"/>
        <w:gridCol w:w="2800"/>
      </w:tblGrid>
      <w:tr>
        <w:trPr>
          <w:tblHeader/>
        </w:trPr>
        <w:tc>
          <w:tcPr>
            <w:tcW w:type="dxa" w:w="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31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Gap</w:t>
            </w:r>
          </w:p>
        </w:tc>
        <w:tc>
          <w:tcPr>
            <w:tcW w:type="dxa" w:w="17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Type</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Category</w:t>
            </w:r>
          </w:p>
        </w:tc>
        <w:tc>
          <w:tcPr>
            <w:tcW w:type="dxa" w:w="28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Owner</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GAP-01</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Intermediate transcript cache retention</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Present-but-Weak Mitigation</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Data Minimisation</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Data Engineering Lead</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GAP-02</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Article 9 training corpus crossing the corporate trust boundary</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Technical Safeguards / Purpose Limitation Enforcement</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Principal AI Architect (masking pipeline and export gate)</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GAP-03</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Access control over high-risk flagged claim narratives</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Technical Safeguards</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Chief Information Security Officer</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GAP-04</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Purpose limitation between operational triage and model retraining</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Present-but-Weak Mitigation</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Purpose Limitation Enforcement</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Lead AI Infrastructure Engineer</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GAP-05</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Meaningful human review is asserted but unevidenced</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Rights and Freedoms Safeguards</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AI Governance Lead (position and thresholds)</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GAP-06</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No Chapter V determination for cross-border transfers</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Transfer Governance</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Lead Data Privacy Officer</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GAP-07</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No objection route or third-party notice for secondary use</w:t>
            </w:r>
          </w:p>
        </w:tc>
        <w:tc>
          <w:tcPr>
            <w:tcW w:type="dxa" w:w="17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Transparency and Data Subject Rights</w:t>
            </w:r>
          </w:p>
        </w:tc>
        <w:tc>
          <w:tcPr>
            <w:tcW w:type="dxa" w:w="2800"/>
            <w:tcMar>
              <w:top w:type="dxa" w:w="70"/>
              <w:left w:type="dxa" w:w="110"/>
              <w:bottom w:type="dxa" w:w="70"/>
              <w:right w:type="dxa" w:w="110"/>
            </w:tcMar>
          </w:tcPr>
          <w:p>
            <w:pPr>
              <w:spacing w:after="0"/>
            </w:pPr>
            <w:r>
              <w:rPr>
                <w:rFonts w:ascii="Arial" w:cs="Arial" w:eastAsia="Arial" w:hAnsi="Arial"/>
                <w:sz w:val="16"/>
                <w:szCs w:val="16"/>
              </w:rPr>
              <w:t xml:space="preserve">Lead Data Privacy Officer</w:t>
            </w:r>
          </w:p>
        </w:tc>
      </w:tr>
    </w:tbl>
    <w:p>
      <w:pPr>
        <w:spacing w:after="100" w:before="100"/>
      </w:pPr>
      <w:r>
        <w:rPr>
          <w:rFonts w:ascii="Arial" w:cs="Arial" w:eastAsia="Arial" w:hAnsi="Arial"/>
          <w:i/>
          <w:iCs/>
          <w:color w:val="595959"/>
          <w:sz w:val="17"/>
          <w:szCs w:val="17"/>
        </w:rPr>
        <w:t xml:space="preserve">Categories covered: Data Minimisation, Technical Safeguards, Purpose Limitation Enforcement, Rights and Freedoms Safeguards, Transfer Governance, and Transparency and Data Subject Rights.</w:t>
      </w:r>
    </w:p>
    <w:p>
      <w:pPr>
        <w:pStyle w:val="Heading2"/>
        <w:spacing w:after="120" w:before="240"/>
      </w:pPr>
      <w:r>
        <w:rPr>
          <w:rFonts w:ascii="Arial" w:cs="Arial" w:eastAsia="Arial" w:hAnsi="Arial"/>
          <w:b/>
          <w:bCs/>
          <w:color w:val="2E5496"/>
          <w:sz w:val="22"/>
          <w:szCs w:val="22"/>
        </w:rPr>
        <w:t xml:space="preserve">A.4  A note on residual risk</w:t>
      </w:r>
    </w:p>
    <w:p>
      <w:pPr>
        <w:spacing w:after="100" w:before="0"/>
      </w:pPr>
      <w:r>
        <w:rPr>
          <w:rFonts w:ascii="Arial" w:cs="Arial" w:eastAsia="Arial" w:hAnsi="Arial"/>
          <w:sz w:val="20"/>
          <w:szCs w:val="20"/>
        </w:rPr>
        <w:t xml:space="preserve">Every entry in Part B states the risk that remains after its control is applied. This is deliberate and it is not a hedge. A mitigation plan that records only what a control achieves is not an assessment — it is a claim, and an auditor has no way to test it. Naming what the control does not reach shows where the analysis stopped and why, and it gives the accountable owner a real basis on which to accept the remainder.</w:t>
      </w:r>
    </w:p>
    <w:p>
      <w:pPr>
        <w:spacing w:after="100" w:before="0"/>
      </w:pPr>
      <w:r>
        <w:rPr>
          <w:rFonts w:ascii="Arial" w:cs="Arial" w:eastAsia="Arial" w:hAnsi="Arial"/>
          <w:sz w:val="20"/>
          <w:szCs w:val="20"/>
        </w:rPr>
        <w:t xml:space="preserve">Two residual risks in this plan cannot be closed by any control listed here, and are carried into the risk disposition rather than presented as resolved: the exported corpus remains personal data in the vendor's hands whatever masking is applied to it (GAP-02), and the Article 22 position remains unverified until the first review-rate measurement is taken (GAP-05).</w:t>
      </w:r>
    </w:p>
    <w:p>
      <w:r>
        <w:br w:type="page"/>
      </w:r>
    </w:p>
    <w:p>
      <w:pPr>
        <w:pStyle w:val="Heading1"/>
        <w:spacing w:after="160" w:before="320"/>
      </w:pPr>
      <w:r>
        <w:rPr>
          <w:rFonts w:ascii="Arial" w:cs="Arial" w:eastAsia="Arial" w:hAnsi="Arial"/>
          <w:b/>
          <w:bCs/>
          <w:color w:val="1F3864"/>
          <w:sz w:val="26"/>
          <w:szCs w:val="26"/>
        </w:rPr>
        <w:t xml:space="preserve">Part B — Completed Mitigation Plan</w:t>
      </w:r>
    </w:p>
    <w:p>
      <w:pPr>
        <w:spacing w:after="200" w:before="0"/>
      </w:pPr>
      <w:r>
        <w:rPr>
          <w:rFonts w:ascii="Arial" w:cs="Arial" w:eastAsia="Arial" w:hAnsi="Arial"/>
          <w:i/>
          <w:iCs/>
          <w:color w:val="595959"/>
          <w:sz w:val="18"/>
          <w:szCs w:val="18"/>
        </w:rPr>
        <w:t xml:space="preserve">Seven entries. Each names the risk addressed, the control introduced, the accountable owner, how effectiveness is measured, how often it is reviewed, and what risk remains after it is applied.</w:t>
      </w:r>
    </w:p>
    <w:p>
      <w:pPr>
        <w:pStyle w:val="Heading2"/>
        <w:keepNext/>
        <w:spacing w:after="120" w:before="200"/>
      </w:pPr>
      <w:r>
        <w:rPr>
          <w:rFonts w:ascii="Arial" w:cs="Arial" w:eastAsia="Arial" w:hAnsi="Arial"/>
          <w:b/>
          <w:bCs/>
          <w:color w:val="2E5496"/>
          <w:sz w:val="22"/>
          <w:szCs w:val="22"/>
        </w:rPr>
        <w:t xml:space="preserve">GAP-01 — Intermediate transcript cache retention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833C00"/>
                <w:sz w:val="18"/>
                <w:szCs w:val="18"/>
              </w:rPr>
              <w:t xml:space="preserve">Present-but-Weak Mitigation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(Risk-to-Rights Assessment — Data Retention Risk) and Section 4 (General Storage Notes)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Data Minimisation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Article 9 free-text clinical narratives persist in the intermediate LLM processing cache after the triage routing decision is complete, creating a re-identification and unauthorised-access exposure over data that is no longer needed for any active purpose. Section 3 rates this high-severity. Section 4 acknowledges it only in general storage prose, with no named control, no owner, no metric and no cadence — the definition of a present-but-weak mitigation.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Claim free-text transcripts and parsed document text are purged from the intermediate processing cache at session close, and in no case later than 60 minutes after the triage routing decision is dispatched, unless a clinical escalation flag has been set by the triage engine — in which case the transcript persists only until the human review decision is recorded at P-08.</w:t>
            </w:r>
          </w:p>
          <w:p>
            <w:pPr>
              <w:spacing w:after="0"/>
            </w:pPr>
            <w:r>
              <w:rPr>
                <w:rFonts w:ascii="Arial" w:cs="Arial" w:eastAsia="Arial" w:hAnsi="Arial"/>
                <w:sz w:val="18"/>
                <w:szCs w:val="18"/>
              </w:rPr>
              <w:t xml:space="preserve">No free-text content is written to any persistent operational data store outside the claims system of record. Cache purge is enforced by an automated job with a fail-closed posture: if the purge job does not confirm completion, new session allocation is halted rather than allowed to accumulate.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Data Engineering Lead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Zero transcripts retained beyond 60 minutes from routing dispatch in the absence of an active escalation flag, measured by automated daily cache scans against a session-close timestamp index.</w:t>
            </w:r>
          </w:p>
          <w:p>
            <w:pPr>
              <w:spacing w:after="70"/>
            </w:pPr>
            <w:r>
              <w:rPr>
                <w:rFonts w:ascii="Arial" w:cs="Arial" w:eastAsia="Arial" w:hAnsi="Arial"/>
                <w:sz w:val="18"/>
                <w:szCs w:val="18"/>
              </w:rPr>
              <w:t xml:space="preserve">Monthly reconciliation of escalation-flagged sessions against human review completion records, with any transcript outliving its escalation by more than 24 hours raised as an exception.</w:t>
            </w:r>
          </w:p>
          <w:p>
            <w:pPr>
              <w:spacing w:after="0"/>
            </w:pPr>
            <w:r>
              <w:rPr>
                <w:rFonts w:ascii="Arial" w:cs="Arial" w:eastAsia="Arial" w:hAnsi="Arial"/>
                <w:sz w:val="18"/>
                <w:szCs w:val="18"/>
              </w:rPr>
              <w:t xml:space="preserve">Target: 100% purge conformance; any single non-conforming session treated as a control failure, not tolerated within a percentage band.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Quarterly, and immediately following any release that modifies transcript handling, session management or the ingestion pipeline.</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Transcripts remain fully readable for up to 60 minutes and, where escalated, until human review concludes. An attacker with cache-layer access during that window obtains raw Article 9 narrative text; the control shortens exposure, it does not remove it.</w:t>
            </w:r>
          </w:p>
          <w:p>
            <w:pPr>
              <w:spacing w:after="70"/>
            </w:pPr>
            <w:r>
              <w:rPr>
                <w:rFonts w:ascii="Arial" w:cs="Arial" w:eastAsia="Arial" w:hAnsi="Arial"/>
                <w:sz w:val="18"/>
                <w:szCs w:val="18"/>
              </w:rPr>
              <w:t xml:space="preserve">The control governs the cache only. Claim narratives are separately retained for five years in the claims system of record, where their protection depends on the access controls at GAP-03 rather than on this measure.</w:t>
            </w:r>
          </w:p>
          <w:p>
            <w:pPr>
              <w:spacing w:after="0"/>
            </w:pPr>
            <w:r>
              <w:rPr>
                <w:rFonts w:ascii="Arial" w:cs="Arial" w:eastAsia="Arial" w:hAnsi="Arial"/>
                <w:sz w:val="18"/>
                <w:szCs w:val="18"/>
              </w:rPr>
              <w:t xml:space="preserve">Fail-closed purge enforcement creates an availability trade-off: a purge-job failure halts new session allocation, which on a 4.2 million claim per day system produces backlog within minutes. This residual is accepted deliberately in favour of the confidentiality posture, and is the reason the rollback plan's latency trigger matters.</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Reviewer Note</w:t>
            </w:r>
          </w:p>
        </w:tc>
        <w:tc>
          <w:tcPr>
            <w:tcW w:type="dxa" w:w="7480"/>
            <w:tcMar>
              <w:top w:type="dxa" w:w="70"/>
              <w:left w:type="dxa" w:w="110"/>
              <w:bottom w:type="dxa" w:w="70"/>
              <w:right w:type="dxa" w:w="110"/>
            </w:tcMar>
          </w:tcPr>
          <w:p>
            <w:pPr>
              <w:spacing w:after="0"/>
            </w:pPr>
            <w:r>
              <w:rPr>
                <w:rFonts w:ascii="Arial" w:cs="Arial" w:eastAsia="Arial" w:hAnsi="Arial"/>
                <w:color w:val="833C00"/>
                <w:sz w:val="18"/>
                <w:szCs w:val="18"/>
              </w:rPr>
              <w:t xml:space="preserve">The source pack carried three different purge windows for this same control — session close, 24 hours, and five minutes from database write. One window is adopted here and is used verbatim in the RoPA and the compliance report.</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2"/>
          <w:szCs w:val="22"/>
        </w:rPr>
        <w:t xml:space="preserve">GAP-02 — Article 9 training corpus crossing the corporate trust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True Gap</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(Vendor Ingestion Protocol) and Section 4 (no control entry found)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Technical Safeguards / Purpose Limitation Enforcement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Historical claim corpora containing Article 9 health data leave Meridian's trust boundary for model development by NovaTriage Analytics Ltd. Section 3 identifies the exposure; Section 4 contains no corresponding entry at all. Once the corpus is outside the boundary, technical control is replaced by contractual control, and any re-identification occurs where Meridian cannot observe it.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A clinical NLP Named Entity Recognition pipeline suppresses and substitutes direct and indirect identifiers with synthetic category tokens ([CLAIMANT_NAME], [CLINIC_ID], [PRACTITIONER], [DATE]) across every record before export. Dates are generalised to month and year; free-text facility and practitioner references are substituted rather than deleted so that syntactic structure survives.</w:t>
            </w:r>
          </w:p>
          <w:p>
            <w:pPr>
              <w:spacing w:after="70"/>
            </w:pPr>
            <w:r>
              <w:rPr>
                <w:rFonts w:ascii="Arial" w:cs="Arial" w:eastAsia="Arial" w:hAnsi="Arial"/>
                <w:sz w:val="18"/>
                <w:szCs w:val="18"/>
              </w:rPr>
              <w:t xml:space="preserve">Differential Privacy (DP-SGD) is applied to the model training run, bounded by a documented epsilon-delta budget with cumulative accounting across retrains.</w:t>
            </w:r>
          </w:p>
          <w:p>
            <w:pPr>
              <w:spacing w:after="0"/>
            </w:pPr>
            <w:r>
              <w:rPr>
                <w:rFonts w:ascii="Arial" w:cs="Arial" w:eastAsia="Arial" w:hAnsi="Arial"/>
                <w:sz w:val="18"/>
                <w:szCs w:val="18"/>
              </w:rPr>
              <w:t xml:space="preserve">Export is gated on a pre-transfer masking verification report; no corpus transfers without one.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Principal AI Architect (masking pipeline and export gate); Lead Data Privacy Officer (transfer instrument)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Held-out manual audit of a stratified 500-record sample per corpus freeze, reviewed by two independent assessors: target zero unmasked direct identifiers, with any single miss triggering a full-corpus re-run rather than a tolerance band.</w:t>
            </w:r>
          </w:p>
          <w:p>
            <w:pPr>
              <w:spacing w:after="70"/>
            </w:pPr>
            <w:r>
              <w:rPr>
                <w:rFonts w:ascii="Arial" w:cs="Arial" w:eastAsia="Arial" w:hAnsi="Arial"/>
                <w:sz w:val="18"/>
                <w:szCs w:val="18"/>
              </w:rPr>
              <w:t xml:space="preserve">NER entity-level recall measured against a curated adversarial gold-standard set enriched for rare surnames, non-Latin names and unusual facility identifiers: minimum 99.5% recall on direct identifiers.</w:t>
            </w:r>
          </w:p>
          <w:p>
            <w:pPr>
              <w:spacing w:after="0"/>
            </w:pPr>
            <w:r>
              <w:rPr>
                <w:rFonts w:ascii="Arial" w:cs="Arial" w:eastAsia="Arial" w:hAnsi="Arial"/>
                <w:sz w:val="18"/>
                <w:szCs w:val="18"/>
              </w:rPr>
              <w:t xml:space="preserve">Epsilon budget consumed per retrain recorded and reported; cumulative epsilon must not exceed the documented ceiling without written governance approval.</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Semi-annually, and before every corpus freeze or scheduled vendor optimisation cycle.</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Semantic re-identification remains possible. Quasi-identifiers are embedded in the prose itself — an unusual multi-morbidity presentation, a rare procedure, a distinctive injury mechanism — and NER masking cannot remove them without destroying the clinical signal the model exists to learn. An attacker with external clinical knowledge may still single out an individual.</w:t>
            </w:r>
          </w:p>
          <w:p>
            <w:pPr>
              <w:spacing w:after="70"/>
            </w:pPr>
            <w:r>
              <w:rPr>
                <w:rFonts w:ascii="Arial" w:cs="Arial" w:eastAsia="Arial" w:hAnsi="Arial"/>
                <w:sz w:val="18"/>
                <w:szCs w:val="18"/>
              </w:rPr>
              <w:t xml:space="preserve">NER false negatives are certain at scale. At 99.5% recall over millions of records, unmasked identifiers will reach the vendor; the control bounds the rate, it does not reach zero.</w:t>
            </w:r>
          </w:p>
          <w:p>
            <w:pPr>
              <w:spacing w:after="70"/>
            </w:pPr>
            <w:r>
              <w:rPr>
                <w:rFonts w:ascii="Arial" w:cs="Arial" w:eastAsia="Arial" w:hAnsi="Arial"/>
                <w:sz w:val="18"/>
                <w:szCs w:val="18"/>
              </w:rPr>
              <w:t xml:space="preserve">The exported corpus remains personal data under Article 4(5) and Recital 26. It is masked, not anonymised, so the full weight of the GDPR continues to apply to it in the vendor's hands and the Article 28 and Chapter V positions at GAP-06 carry the load that de-identification cannot.</w:t>
            </w:r>
          </w:p>
          <w:p>
            <w:pPr>
              <w:spacing w:after="0"/>
            </w:pPr>
            <w:r>
              <w:rPr>
                <w:rFonts w:ascii="Arial" w:cs="Arial" w:eastAsia="Arial" w:hAnsi="Arial"/>
                <w:sz w:val="18"/>
                <w:szCs w:val="18"/>
              </w:rPr>
              <w:t xml:space="preserve">DP-SGD degrades classification accuracy on long-tail presentations — rare conditions and atypical claim profiles — which is a fairness concern as much as a utility one, since those cohorts are already the ones a triage model serves least well.</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Reviewer Note</w:t>
            </w:r>
          </w:p>
        </w:tc>
        <w:tc>
          <w:tcPr>
            <w:tcW w:type="dxa" w:w="7480"/>
            <w:tcMar>
              <w:top w:type="dxa" w:w="70"/>
              <w:left w:type="dxa" w:w="110"/>
              <w:bottom w:type="dxa" w:w="70"/>
              <w:right w:type="dxa" w:w="110"/>
            </w:tcMar>
          </w:tcPr>
          <w:p>
            <w:pPr>
              <w:spacing w:after="0"/>
            </w:pPr>
            <w:r>
              <w:rPr>
                <w:rFonts w:ascii="Arial" w:cs="Arial" w:eastAsia="Arial" w:hAnsi="Arial"/>
                <w:color w:val="833C00"/>
                <w:sz w:val="18"/>
                <w:szCs w:val="18"/>
              </w:rPr>
              <w:t xml:space="preserve">TECHNICAL CORRECTION. The mitigation as drafted in the scenario package specified differential privacy transformations applied to the corpus prior to export. That is a category error: DP-SGD perturbs gradients during training and does nothing to a dataset in transit or at rest on a vendor's infrastructure. The control that protects an export is masking; DP-SGD protects the resulting model against membership inference. Both are retained here, pointed at the objects they actually protect.</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2"/>
          <w:szCs w:val="22"/>
        </w:rPr>
        <w:t xml:space="preserve">GAP-03 — Access control over high-risk flagged claim narratives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True Gap</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(Unauthorised Access to Flagged Claims) and Section 4 (no control entry found)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Technical Safeguards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Claims flagged high-risk are surfaced in full — narrative, supporting medical documentation and model rationale — to the human review queue. This is the point in the deployment where the richest Article 9 content is presented to human eyes, and Section 4 specifies no access restriction over it. Internal over-access to flagged clinical data is unmitigated.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Attribute-based access control over the high-risk review queue, restricting record visibility to users holding the Senior Medical Adjudicator attribute and an active assignment to that specific claim. Assignment-scoped access, not role-scoped: holding the role does not confer visibility of every flagged claim.</w:t>
            </w:r>
          </w:p>
          <w:p>
            <w:pPr>
              <w:spacing w:after="70"/>
            </w:pPr>
            <w:r>
              <w:rPr>
                <w:rFonts w:ascii="Arial" w:cs="Arial" w:eastAsia="Arial" w:hAnsi="Arial"/>
                <w:sz w:val="18"/>
                <w:szCs w:val="18"/>
              </w:rPr>
              <w:t xml:space="preserve">AES-256 field-level encryption on narrative and documentation fields within the queue, with keys held in the corporate key management service and separated from application credentials.</w:t>
            </w:r>
          </w:p>
          <w:p>
            <w:pPr>
              <w:spacing w:after="0"/>
            </w:pPr>
            <w:r>
              <w:rPr>
                <w:rFonts w:ascii="Arial" w:cs="Arial" w:eastAsia="Arial" w:hAnsi="Arial"/>
                <w:sz w:val="18"/>
                <w:szCs w:val="18"/>
              </w:rPr>
              <w:t xml:space="preserve">Immutable access logging of every read, including reads that resulted in no decision.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Chief Information Security Officer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Zero successful accesses by users without both the attribute and the claim assignment, verified by continuous identity governance monitoring and confirmed by biannual penetration testing that includes an insider-access scenario.</w:t>
            </w:r>
          </w:p>
          <w:p>
            <w:pPr>
              <w:spacing w:after="70"/>
            </w:pPr>
            <w:r>
              <w:rPr>
                <w:rFonts w:ascii="Arial" w:cs="Arial" w:eastAsia="Arial" w:hAnsi="Arial"/>
                <w:sz w:val="18"/>
                <w:szCs w:val="18"/>
              </w:rPr>
              <w:t xml:space="preserve">100% field-level encryption coverage on the queue, verified by automated schema scan each release.</w:t>
            </w:r>
          </w:p>
          <w:p>
            <w:pPr>
              <w:spacing w:after="0"/>
            </w:pPr>
            <w:r>
              <w:rPr>
                <w:rFonts w:ascii="Arial" w:cs="Arial" w:eastAsia="Arial" w:hAnsi="Arial"/>
                <w:sz w:val="18"/>
                <w:szCs w:val="18"/>
              </w:rPr>
              <w:t xml:space="preserve">Monthly review of read-without-decision events: a reviewer opening flagged clinical records they never adjudicate is the signal this control exists to surface.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Biannually, and following any change to corporate IAM policy, directory structure or review queue composition.</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The control restricts who may read, not what they do with what they read. A Senior Medical Adjudicator legitimately assigned to a claim sees the complete Article 9 record, and exfiltration by an authorised reader is outside this control's reach — access logging detects it after the fact rather than preventing it.</w:t>
            </w:r>
          </w:p>
          <w:p>
            <w:pPr>
              <w:spacing w:after="70"/>
            </w:pPr>
            <w:r>
              <w:rPr>
                <w:rFonts w:ascii="Arial" w:cs="Arial" w:eastAsia="Arial" w:hAnsi="Arial"/>
                <w:sz w:val="18"/>
                <w:szCs w:val="18"/>
              </w:rPr>
              <w:t xml:space="preserve">Assignment-scoped access introduces operational friction during volume peaks, when reassignment is frequent. Pressure to widen assignment scope during the 11:00 to 15:00 peak window is the predictable failure mode and should be monitored as such.</w:t>
            </w:r>
          </w:p>
          <w:p>
            <w:pPr>
              <w:spacing w:after="0"/>
            </w:pPr>
            <w:r>
              <w:rPr>
                <w:rFonts w:ascii="Arial" w:cs="Arial" w:eastAsia="Arial" w:hAnsi="Arial"/>
                <w:sz w:val="18"/>
                <w:szCs w:val="18"/>
              </w:rPr>
              <w:t xml:space="preserve">Encryption protects data at rest in the queue store. It does not protect data rendered on screen, in memory, or in any downstream export a reviewer initiates.</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2"/>
          <w:szCs w:val="22"/>
        </w:rPr>
        <w:t xml:space="preserve">GAP-04 — Purpose limitation between operational triage and model retraining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833C00"/>
                <w:sz w:val="18"/>
                <w:szCs w:val="18"/>
              </w:rPr>
              <w:t xml:space="preserve">Present-but-Weak Mitigation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(Risk-to-Rights Assessment — Secondary Use) and Section 4, paragraph 4.2</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Purpose Limitation Enforcement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Claim data collected to adjudicate a live claim flows into the training corpus for a different purpose under a different lawful basis. Section 4.2 addresses secondary use in general terms but names no control, no owner and no measurable boundary, so nothing technically prevents operational data reaching a retraining set outside the governed corpus-freeze process.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Data loss prevention policy enforced at the pipeline boundary: operational claim stores are readable by the training pipeline only through the governed corpus-freeze export, never by direct query. Any other read path from an operational store to a training environment is blocked and alerted.</w:t>
            </w:r>
          </w:p>
          <w:p>
            <w:pPr>
              <w:spacing w:after="70"/>
            </w:pPr>
            <w:r>
              <w:rPr>
                <w:rFonts w:ascii="Arial" w:cs="Arial" w:eastAsia="Arial" w:hAnsi="Arial"/>
                <w:sz w:val="18"/>
                <w:szCs w:val="18"/>
              </w:rPr>
              <w:t xml:space="preserve">Corpus freeze produces a manifest recording every record included, the masking pipeline version applied, and the consent and objection state of each source record at freeze time.</w:t>
            </w:r>
          </w:p>
          <w:p>
            <w:pPr>
              <w:spacing w:after="0"/>
            </w:pPr>
            <w:r>
              <w:rPr>
                <w:rFonts w:ascii="Arial" w:cs="Arial" w:eastAsia="Arial" w:hAnsi="Arial"/>
                <w:sz w:val="18"/>
                <w:szCs w:val="18"/>
              </w:rPr>
              <w:t xml:space="preserve">Records whose data subject has withdrawn consent (P-04) or exercised an Article 21 objection (GAP-07) are excluded at freeze and are not restored by any subsequent freeze.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Lead AI Infrastructure Engineer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Zero training-environment reads from operational stores outside the corpus-freeze path, measured by continuous pipeline egress monitoring; any occurrence is a control failure requiring incident handling, not a metric deviation.</w:t>
            </w:r>
          </w:p>
          <w:p>
            <w:pPr>
              <w:spacing w:after="70"/>
            </w:pPr>
            <w:r>
              <w:rPr>
                <w:rFonts w:ascii="Arial" w:cs="Arial" w:eastAsia="Arial" w:hAnsi="Arial"/>
                <w:sz w:val="18"/>
                <w:szCs w:val="18"/>
              </w:rPr>
              <w:t xml:space="preserve">100% of corpus freezes accompanied by a complete manifest, verified by hash comparison between the manifest and the delivered corpus before any training run begins.</w:t>
            </w:r>
          </w:p>
          <w:p>
            <w:pPr>
              <w:spacing w:after="0"/>
            </w:pPr>
            <w:r>
              <w:rPr>
                <w:rFonts w:ascii="Arial" w:cs="Arial" w:eastAsia="Arial" w:hAnsi="Arial"/>
                <w:sz w:val="18"/>
                <w:szCs w:val="18"/>
              </w:rPr>
              <w:t xml:space="preserve">Quarterly sample audit confirming that withdrawn and objected records are absent from the current corpus.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Quarterly, and before every scheduled fine-tuning or model iteration cycle.</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Withdrawal and objection propagate at the next corpus freeze, not immediately. A model already trained on a record retains whatever it learned from that record until the next retrain, and machine unlearning is not implemented — so between withdrawal and retrain, the data subject's decision is honoured in the corpus but not in the deployed model.</w:t>
            </w:r>
          </w:p>
          <w:p>
            <w:pPr>
              <w:spacing w:after="70"/>
            </w:pPr>
            <w:r>
              <w:rPr>
                <w:rFonts w:ascii="Arial" w:cs="Arial" w:eastAsia="Arial" w:hAnsi="Arial"/>
                <w:sz w:val="18"/>
                <w:szCs w:val="18"/>
              </w:rPr>
              <w:t xml:space="preserve">The control governs data movement, not model behaviour. It cannot detect information that has already been memorised into weights; that exposure is addressed by DP-SGD at GAP-02, imperfectly.</w:t>
            </w:r>
          </w:p>
          <w:p>
            <w:pPr>
              <w:spacing w:after="0"/>
            </w:pPr>
            <w:r>
              <w:rPr>
                <w:rFonts w:ascii="Arial" w:cs="Arial" w:eastAsia="Arial" w:hAnsi="Arial"/>
                <w:sz w:val="18"/>
                <w:szCs w:val="18"/>
              </w:rPr>
              <w:t xml:space="preserve">Where OD-07 resolves such that self-reported ethnicity is a model input feature, this control does not remedy it — exclusion of a feature from the training set is a separate decision requiring its own change and a disparate-impact assessment on models already trained.</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2"/>
          <w:szCs w:val="22"/>
        </w:rPr>
        <w:t xml:space="preserve">GAP-05 — Meaningful human review is asserted but unevidenced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True Gap</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(Automated Decision-Making) and Section 4 (no control entry found)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Rights and Freedoms Safeguards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The deployment's Article 22 position rests entirely on the proposition that model outputs influence but do not solely determine claim outcomes, because a human reviews high-risk cases. Nothing in the DPIA evidences that proposition. There is no measured review rate, no override rate, and no confirmation that reviewers hold the authority and competence to depart from the model. Meanwhile the system is the sole screening layer with no parallel fallback, it dispatches transactional instructions rather than recommendations, and red-team testing bypassed routing to review in 14.2% of adversarial variations. If human involvement is not meaningful, Article 22(1) applies to processing of special category data, engaging Article 22(4) and requiring safeguards the package does not currently document.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Instrument the human review queue to produce three measures per reporting period: the proportion of claims routed to review, the proportion of reviewed claims where the reviewer's decision departed from the model's recommendation, and median reviewer time-on-record.</w:t>
            </w:r>
          </w:p>
          <w:p>
            <w:pPr>
              <w:spacing w:after="70"/>
            </w:pPr>
            <w:r>
              <w:rPr>
                <w:rFonts w:ascii="Arial" w:cs="Arial" w:eastAsia="Arial" w:hAnsi="Arial"/>
                <w:sz w:val="18"/>
                <w:szCs w:val="18"/>
              </w:rPr>
              <w:t xml:space="preserve">Publish a reviewer authority matrix confirming in writing that Senior Medical Adjudicators may overturn any model output without escalation, and that no performance measure penalises departure from the model.</w:t>
            </w:r>
          </w:p>
          <w:p>
            <w:pPr>
              <w:spacing w:after="70"/>
            </w:pPr>
            <w:r>
              <w:rPr>
                <w:rFonts w:ascii="Arial" w:cs="Arial" w:eastAsia="Arial" w:hAnsi="Arial"/>
                <w:sz w:val="18"/>
                <w:szCs w:val="18"/>
              </w:rPr>
              <w:t xml:space="preserve">Establish an override floor: if the departure rate falls below a governance-set threshold over a reporting period, the review step is presumed nominal and the Article 22 position is re-opened rather than assumed to hold.</w:t>
            </w:r>
          </w:p>
          <w:p>
            <w:pPr>
              <w:spacing w:after="0"/>
            </w:pPr>
            <w:r>
              <w:rPr>
                <w:rFonts w:ascii="Arial" w:cs="Arial" w:eastAsia="Arial" w:hAnsi="Arial"/>
                <w:sz w:val="18"/>
                <w:szCs w:val="18"/>
              </w:rPr>
              <w:t xml:space="preserve">Implement the Article 22(3) safeguards explicitly — a documented route for the data subject to obtain human intervention, express their point of view, and contest the decision — and record its usage.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AI Governance Lead (position and thresholds); Director of Claims Adjudication (queue instrumentation and reviewer authority)</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Review rate, override rate and time-on-record reported monthly to the AI governance forum, with a first baseline established before the readiness audit.</w:t>
            </w:r>
          </w:p>
          <w:p>
            <w:pPr>
              <w:spacing w:after="70"/>
            </w:pPr>
            <w:r>
              <w:rPr>
                <w:rFonts w:ascii="Arial" w:cs="Arial" w:eastAsia="Arial" w:hAnsi="Arial"/>
                <w:sz w:val="18"/>
                <w:szCs w:val="18"/>
              </w:rPr>
              <w:t xml:space="preserve">Override rate sustained above the governance-set floor; any period below it triggers a documented re-assessment of the Article 22 position within 30 days.</w:t>
            </w:r>
          </w:p>
          <w:p>
            <w:pPr>
              <w:spacing w:after="70"/>
            </w:pPr>
            <w:r>
              <w:rPr>
                <w:rFonts w:ascii="Arial" w:cs="Arial" w:eastAsia="Arial" w:hAnsi="Arial"/>
                <w:sz w:val="18"/>
                <w:szCs w:val="18"/>
              </w:rPr>
              <w:t xml:space="preserve">Median time-on-record sufficient to constitute substantive consideration, assessed against the complexity of a flagged claim rather than against a fixed number.</w:t>
            </w:r>
          </w:p>
          <w:p>
            <w:pPr>
              <w:spacing w:after="0"/>
            </w:pPr>
            <w:r>
              <w:rPr>
                <w:rFonts w:ascii="Arial" w:cs="Arial" w:eastAsia="Arial" w:hAnsi="Arial"/>
                <w:sz w:val="18"/>
                <w:szCs w:val="18"/>
              </w:rPr>
              <w:t xml:space="preserve">100% of contested decisions receiving a documented human re-determination within the published service window.</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Monthly reporting; formal re-assessment of the Article 22 position quarterly, and immediately on any breach of the override floor.</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Until a baseline exists, the deployment operates with an unverified Article 22 position. That residual cannot be closed by instrumentation alone — it closes only when the first measurement is taken, and the measurement may show the position does not hold.</w:t>
            </w:r>
          </w:p>
          <w:p>
            <w:pPr>
              <w:spacing w:after="70"/>
            </w:pPr>
            <w:r>
              <w:rPr>
                <w:rFonts w:ascii="Arial" w:cs="Arial" w:eastAsia="Arial" w:hAnsi="Arial"/>
                <w:sz w:val="18"/>
                <w:szCs w:val="18"/>
              </w:rPr>
              <w:t xml:space="preserve">Automation bias is not addressed by measuring override rates. A reviewer who agrees with the model because it is the model produces a healthy-looking departure rate only if the model is sometimes wrong in ways the reviewer notices; concordance is not evidence of independent judgement.</w:t>
            </w:r>
          </w:p>
          <w:p>
            <w:pPr>
              <w:spacing w:after="0"/>
            </w:pPr>
            <w:r>
              <w:rPr>
                <w:rFonts w:ascii="Arial" w:cs="Arial" w:eastAsia="Arial" w:hAnsi="Arial"/>
                <w:sz w:val="18"/>
                <w:szCs w:val="18"/>
              </w:rPr>
              <w:t xml:space="preserve">The 14.2% adversarial bypass means routing to review can be defeated by an attacker regardless of how meaningful review is for claims that reach it. Until RSK-02 is remediated, this control protects the honest path only.</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Reviewer Note</w:t>
            </w:r>
          </w:p>
        </w:tc>
        <w:tc>
          <w:tcPr>
            <w:tcW w:type="dxa" w:w="7480"/>
            <w:tcMar>
              <w:top w:type="dxa" w:w="70"/>
              <w:left w:type="dxa" w:w="110"/>
              <w:bottom w:type="dxa" w:w="70"/>
              <w:right w:type="dxa" w:w="110"/>
            </w:tcMar>
          </w:tcPr>
          <w:p>
            <w:pPr>
              <w:spacing w:after="0"/>
            </w:pPr>
            <w:r>
              <w:rPr>
                <w:rFonts w:ascii="Arial" w:cs="Arial" w:eastAsia="Arial" w:hAnsi="Arial"/>
                <w:color w:val="833C00"/>
                <w:sz w:val="18"/>
                <w:szCs w:val="18"/>
              </w:rPr>
              <w:t xml:space="preserve">GAP ADDED DURING THIS REVIEW. Not present in the supplied DPIA mitigation plan, the scenario package's formal mitigation matrix, or the report template. It is the highest-consequence gap in this plan because it bears on the lawfulness of the processing itself rather than on the security of data within it.</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2"/>
          <w:szCs w:val="22"/>
        </w:rPr>
        <w:t xml:space="preserve">GAP-06 — No Chapter V determination for cross-border transfers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True Gap</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(Vendor Ingestion Protocol) and Section 4 (no control entry found)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Transfer Governance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The RoPA records 'none identified at this stage' against transfers for every processing activity. That is a statement that no assessment was performed, not a finding that no transfer occurs. Meridian is a multinational operating beyond the EU; NovaTriage Analytics Ltd. carries a suffix used in both the United Kingdom and Ireland, and no country is recorded; and Azure and Defender for Cloud process telemetry derived from Article 9 narratives through a sub-processor chain that has never been enumerated. Article 9 data may be leaving the EEA under no identified transfer mechanism.</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Complete a transfer mapping covering all ten registered processing activities: identify each recipient's country of establishment and place of processing, and enumerate sub-processors including the Microsoft chain for telemetry.</w:t>
            </w:r>
          </w:p>
          <w:p>
            <w:pPr>
              <w:spacing w:after="70"/>
            </w:pPr>
            <w:r>
              <w:rPr>
                <w:rFonts w:ascii="Arial" w:cs="Arial" w:eastAsia="Arial" w:hAnsi="Arial"/>
                <w:sz w:val="18"/>
                <w:szCs w:val="18"/>
              </w:rPr>
              <w:t xml:space="preserve">For each transfer to a third country, record the Chapter V instrument relied on — an adequacy decision, or Article 46(2)(c) standard contractual clauses accompanied by a transfer impact assessment — and reference it in the RoPA transfers column.</w:t>
            </w:r>
          </w:p>
          <w:p>
            <w:pPr>
              <w:spacing w:after="0"/>
            </w:pPr>
            <w:r>
              <w:rPr>
                <w:rFonts w:ascii="Arial" w:cs="Arial" w:eastAsia="Arial" w:hAnsi="Arial"/>
                <w:sz w:val="18"/>
                <w:szCs w:val="18"/>
              </w:rPr>
              <w:t xml:space="preserve">Suspend the corpus export to NovaTriage until its country of establishment is confirmed and, where a third country, an instrument is in place.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Lead Data Privacy Officer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Transfer mapping complete for 10 of 10 registered activities, with country of establishment and place of processing confirmed in writing by each recipient.</w:t>
            </w:r>
          </w:p>
          <w:p>
            <w:pPr>
              <w:spacing w:after="70"/>
            </w:pPr>
            <w:r>
              <w:rPr>
                <w:rFonts w:ascii="Arial" w:cs="Arial" w:eastAsia="Arial" w:hAnsi="Arial"/>
                <w:sz w:val="18"/>
                <w:szCs w:val="18"/>
              </w:rPr>
              <w:t xml:space="preserve">Zero transfers of Article 9 data to a third country without a referenced Chapter V instrument on file.</w:t>
            </w:r>
          </w:p>
          <w:p>
            <w:pPr>
              <w:spacing w:after="0"/>
            </w:pPr>
            <w:r>
              <w:rPr>
                <w:rFonts w:ascii="Arial" w:cs="Arial" w:eastAsia="Arial" w:hAnsi="Arial"/>
                <w:sz w:val="18"/>
                <w:szCs w:val="18"/>
              </w:rPr>
              <w:t xml:space="preserve">Adequacy decisions relied on are reviewed for continued validity at each cadence point rather than assumed durable.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Semi-annually, and immediately on any change of vendor, sub-processor, hosting region, or adequacy status.</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Standard contractual clauses bind the recipient but cannot bind a third country's public authorities. Where a transfer impact assessment identifies government access powers that clauses cannot neutralise, supplementary measures are required and may not be sufficient — in which case the transfer should not proceed rather than proceed documented.</w:t>
            </w:r>
          </w:p>
          <w:p>
            <w:pPr>
              <w:spacing w:after="70"/>
            </w:pPr>
            <w:r>
              <w:rPr>
                <w:rFonts w:ascii="Arial" w:cs="Arial" w:eastAsia="Arial" w:hAnsi="Arial"/>
                <w:sz w:val="18"/>
                <w:szCs w:val="18"/>
              </w:rPr>
              <w:t xml:space="preserve">Adequacy is revocable and has been litigated repeatedly. A transfer lawful today may require re-papering at short notice, which is why validity is re-checked at each cadence point.</w:t>
            </w:r>
          </w:p>
          <w:p>
            <w:pPr>
              <w:spacing w:after="0"/>
            </w:pPr>
            <w:r>
              <w:rPr>
                <w:rFonts w:ascii="Arial" w:cs="Arial" w:eastAsia="Arial" w:hAnsi="Arial"/>
                <w:sz w:val="18"/>
                <w:szCs w:val="18"/>
              </w:rPr>
              <w:t xml:space="preserve">Suspending the export pending confirmation delays the retraining programme that CVE-2025-XXXX remediation depends on. This tension between the privacy and security workstreams is real and is surfaced in the risk disposition rather than resolved silently in favour of either.</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Reviewer Note</w:t>
            </w:r>
          </w:p>
        </w:tc>
        <w:tc>
          <w:tcPr>
            <w:tcW w:type="dxa" w:w="7480"/>
            <w:tcMar>
              <w:top w:type="dxa" w:w="70"/>
              <w:left w:type="dxa" w:w="110"/>
              <w:bottom w:type="dxa" w:w="70"/>
              <w:right w:type="dxa" w:w="110"/>
            </w:tcMar>
          </w:tcPr>
          <w:p>
            <w:pPr>
              <w:spacing w:after="0"/>
            </w:pPr>
            <w:r>
              <w:rPr>
                <w:rFonts w:ascii="Arial" w:cs="Arial" w:eastAsia="Arial" w:hAnsi="Arial"/>
                <w:color w:val="833C00"/>
                <w:sz w:val="18"/>
                <w:szCs w:val="18"/>
              </w:rPr>
              <w:t xml:space="preserve">GAP ADDED DURING THIS REVIEW.</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2"/>
          <w:szCs w:val="22"/>
        </w:rPr>
        <w:t xml:space="preserve">GAP-07 — No objection route or third-party notice for secondary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Gap Type</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True Gap</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DPIA Section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DPIA Section 3 (Risk-to-Rights Assessment — Secondary Use and Transparency) and Section 4 (no control entry found)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 Category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Transparency and Data Subject Rights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 Addressed</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Training reuse of claim narratives and adjuster notes rests on Article 6(1)(f). Article 21(1) gives every data subject an absolute right to object to legitimate-interest processing, and no objection route exists. Separately, claim narratives routinely name people who are not party to the contract — dependants, treating clinicians, employers, witnesses — whose health data is processed with no consent, no notice and no realistic Article 14 route. Neither exposure is addressed in Section 4.</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Publish an objection route for training reuse, operable independently of claim submission and with no effect on claim handling, and wire it to the corpus-freeze exclusion at GAP-04.</w:t>
            </w:r>
          </w:p>
          <w:p>
            <w:pPr>
              <w:spacing w:after="70"/>
            </w:pPr>
            <w:r>
              <w:rPr>
                <w:rFonts w:ascii="Arial" w:cs="Arial" w:eastAsia="Arial" w:hAnsi="Arial"/>
                <w:sz w:val="18"/>
                <w:szCs w:val="18"/>
              </w:rPr>
              <w:t xml:space="preserve">Document Article 14(5)(b) disproportionate-effort relief for third parties named in narratives, with the reasoning recorded rather than assumed, and discharge the residual duty through a public processing notice describing the deployment and the categories of third-party data it foreseeably receives.</w:t>
            </w:r>
          </w:p>
          <w:p>
            <w:pPr>
              <w:spacing w:after="0"/>
            </w:pPr>
            <w:r>
              <w:rPr>
                <w:rFonts w:ascii="Arial" w:cs="Arial" w:eastAsia="Arial" w:hAnsi="Arial"/>
                <w:sz w:val="18"/>
                <w:szCs w:val="18"/>
              </w:rPr>
              <w:t xml:space="preserve">Extend the claimant-facing privacy notice to state plainly that narratives are used to train an automated triage system, that an objection route exists, and what the automated decision does — the Article 13(2)(f) and 15(1)(h) obligation to give meaningful information about the logic involved.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Lead Data Privacy Officer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Effectiveness Criterion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Objection route live and reachable within two clicks of the claims portal, with objections actioned at the next corpus freeze and confirmation issued to the data subject.</w:t>
            </w:r>
          </w:p>
          <w:p>
            <w:pPr>
              <w:spacing w:after="70"/>
            </w:pPr>
            <w:r>
              <w:rPr>
                <w:rFonts w:ascii="Arial" w:cs="Arial" w:eastAsia="Arial" w:hAnsi="Arial"/>
                <w:sz w:val="18"/>
                <w:szCs w:val="18"/>
              </w:rPr>
              <w:t xml:space="preserve">Article 14(5)(b) assessment documented and reviewed; public notice published and version-controlled.</w:t>
            </w:r>
          </w:p>
          <w:p>
            <w:pPr>
              <w:spacing w:after="0"/>
            </w:pPr>
            <w:r>
              <w:rPr>
                <w:rFonts w:ascii="Arial" w:cs="Arial" w:eastAsia="Arial" w:hAnsi="Arial"/>
                <w:sz w:val="18"/>
                <w:szCs w:val="18"/>
              </w:rPr>
              <w:t xml:space="preserve">Privacy notice tested for comprehensibility rather than merely for completeness — Article 12(1) requires concise, intelligible and plain language, which a legally complete notice can still fail.</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 Cadence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Annually, and on any change to the lawful basis, the training purpose, or the categories of data ingested.</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Residual Risk After Control</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Article 14(5)(b) relief is a judgement that a supervisory authority may not share. It reduces the obligation; it does not extinguish the underlying position that these individuals do not know their health data is held.</w:t>
            </w:r>
          </w:p>
          <w:p>
            <w:pPr>
              <w:spacing w:after="70"/>
            </w:pPr>
            <w:r>
              <w:rPr>
                <w:rFonts w:ascii="Arial" w:cs="Arial" w:eastAsia="Arial" w:hAnsi="Arial"/>
                <w:sz w:val="18"/>
                <w:szCs w:val="18"/>
              </w:rPr>
              <w:t xml:space="preserve">An objection route that exists but is not found is not a safeguard. Uptake near zero should be read as a discoverability failure before it is read as consent by silence.</w:t>
            </w:r>
          </w:p>
          <w:p>
            <w:pPr>
              <w:spacing w:after="0"/>
            </w:pPr>
            <w:r>
              <w:rPr>
                <w:rFonts w:ascii="Arial" w:cs="Arial" w:eastAsia="Arial" w:hAnsi="Arial"/>
                <w:sz w:val="18"/>
                <w:szCs w:val="18"/>
              </w:rPr>
              <w:t xml:space="preserve">Meaningful information about the logic of a large language model is genuinely hard to give. The obligation can be discharged in substance — what the system does, on what inputs, with what effect — but not by explaining the model's reasoning, and that limitation should be stated to the data subject rather than papered over.</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Reviewer Note</w:t>
            </w:r>
          </w:p>
        </w:tc>
        <w:tc>
          <w:tcPr>
            <w:tcW w:type="dxa" w:w="7480"/>
            <w:tcMar>
              <w:top w:type="dxa" w:w="70"/>
              <w:left w:type="dxa" w:w="110"/>
              <w:bottom w:type="dxa" w:w="70"/>
              <w:right w:type="dxa" w:w="110"/>
            </w:tcMar>
          </w:tcPr>
          <w:p>
            <w:pPr>
              <w:spacing w:after="0"/>
            </w:pPr>
            <w:r>
              <w:rPr>
                <w:rFonts w:ascii="Arial" w:cs="Arial" w:eastAsia="Arial" w:hAnsi="Arial"/>
                <w:color w:val="833C00"/>
                <w:sz w:val="18"/>
                <w:szCs w:val="18"/>
              </w:rPr>
              <w:t xml:space="preserve">GAP ADDED DURING THIS REVIEW.</w:t>
            </w:r>
          </w:p>
        </w:tc>
      </w:tr>
    </w:tbl>
    <w:p>
      <w:pPr>
        <w:spacing w:after="60" w:before="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3864"/>
          <w:sz w:val="26"/>
          <w:szCs w:val="26"/>
        </w:rPr>
        <w:t xml:space="preserve">Part C — Self-Check Before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480"/>
        <w:gridCol w:w="2000"/>
      </w:tblGrid>
      <w:tr>
        <w:trPr>
          <w:tblHeader/>
        </w:trPr>
        <w:tc>
          <w:tcPr>
            <w:tcW w:type="dxa" w:w="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t>
            </w:r>
          </w:p>
        </w:tc>
        <w:tc>
          <w:tcPr>
            <w:tcW w:type="dxa" w:w="74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Check</w:t>
            </w:r>
          </w:p>
        </w:tc>
        <w:tc>
          <w:tcPr>
            <w:tcW w:type="dxa" w:w="2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Status</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1</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At least three gaps identified, with a completed entry for each</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 — 7 entries</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2</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gap traced to a specific section of the DPIA by name or number</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3</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gap classified as a True Gap or a Present-but-Weak Mitigation</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 — 5 True, 2 Weak</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4</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Named Control specific and actionable, not a category label</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5</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Named Owner a role title, not TBD and not a department alone</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6</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Effectiveness Criterion measurable, not aspirational</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7</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Review Cadence a defined frequency, not 'periodically'</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8</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entry references a specific DPIA section by name or number</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9</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Mitigations span at least two of the five mitigation categories</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 — 6 categories</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10</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Part A describes both the methodology applied and the categories found</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11</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Every entry states the residual risk remaining after the control</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 — added to this template</w:t>
            </w:r>
          </w:p>
        </w:tc>
      </w:tr>
      <w:tr>
        <w:tc>
          <w:tcPr>
            <w:tcW w:type="dxa" w:w="600"/>
            <w:tcMar>
              <w:top w:type="dxa" w:w="70"/>
              <w:left w:type="dxa" w:w="110"/>
              <w:bottom w:type="dxa" w:w="70"/>
              <w:right w:type="dxa" w:w="110"/>
            </w:tcMar>
          </w:tcPr>
          <w:p>
            <w:pPr>
              <w:spacing w:after="0"/>
            </w:pPr>
            <w:r>
              <w:rPr>
                <w:rFonts w:ascii="Arial" w:cs="Arial" w:eastAsia="Arial" w:hAnsi="Arial"/>
                <w:sz w:val="16"/>
                <w:szCs w:val="16"/>
              </w:rPr>
              <w:t xml:space="preserve">12</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Residual risks that no listed control can close are carried into the risk disposition</w:t>
            </w:r>
          </w:p>
        </w:tc>
        <w:tc>
          <w:tcPr>
            <w:tcW w:type="dxa" w:w="2000"/>
            <w:tcMar>
              <w:top w:type="dxa" w:w="70"/>
              <w:left w:type="dxa" w:w="110"/>
              <w:bottom w:type="dxa" w:w="70"/>
              <w:right w:type="dxa" w:w="110"/>
            </w:tcMar>
          </w:tcPr>
          <w:p>
            <w:pPr>
              <w:spacing w:after="0"/>
            </w:pPr>
            <w:r>
              <w:rPr>
                <w:rFonts w:ascii="Arial" w:cs="Arial" w:eastAsia="Arial" w:hAnsi="Arial"/>
                <w:sz w:val="16"/>
                <w:szCs w:val="16"/>
              </w:rPr>
              <w:t xml:space="preserve">Confirmed — GAP-02 and GAP-05</w:t>
            </w:r>
          </w:p>
        </w:tc>
      </w:tr>
    </w:tbl>
    <w:p>
      <w:pPr>
        <w:spacing w:after="100" w:before="120"/>
      </w:pPr>
      <w:r>
        <w:rPr>
          <w:rFonts w:ascii="Arial" w:cs="Arial" w:eastAsia="Arial" w:hAnsi="Arial"/>
          <w:i/>
          <w:iCs/>
          <w:color w:val="595959"/>
          <w:sz w:val="17"/>
          <w:szCs w:val="17"/>
        </w:rPr>
        <w:t xml:space="preserve">Checks 11 and 12 are additions to the supplied template. The step requires each addition to name the risk, the control and the residual risk that remains; the template as issued had no row for the third.</w:t>
      </w:r>
    </w:p>
    <w:p>
      <w:pPr>
        <w:pStyle w:val="Heading1"/>
        <w:spacing w:after="160" w:before="320"/>
      </w:pPr>
      <w:r>
        <w:rPr>
          <w:rFonts w:ascii="Arial" w:cs="Arial" w:eastAsia="Arial" w:hAnsi="Arial"/>
          <w:b/>
          <w:bCs/>
          <w:color w:val="1F3864"/>
          <w:sz w:val="26"/>
          <w:szCs w:val="26"/>
        </w:rPr>
        <w:t xml:space="preserve">Part D — Dependencies and Open Determinations</w:t>
      </w:r>
    </w:p>
    <w:p>
      <w:pPr>
        <w:spacing w:after="100" w:before="0"/>
      </w:pPr>
      <w:r>
        <w:rPr>
          <w:rFonts w:ascii="Arial" w:cs="Arial" w:eastAsia="Arial" w:hAnsi="Arial"/>
          <w:sz w:val="20"/>
          <w:szCs w:val="20"/>
        </w:rPr>
        <w:t xml:space="preserve">Three entries in this plan cannot be completed without facts the scenario package does not supply. They are recorded as dependencies rather than filled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680"/>
      </w:tblGrid>
      <w:tr>
        <w:trPr>
          <w:tblHeader/>
        </w:trPr>
        <w:tc>
          <w:tcPr>
            <w:tcW w:type="dxa" w:w="1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Question</w:t>
            </w:r>
          </w:p>
        </w:tc>
        <w:tc>
          <w:tcPr>
            <w:tcW w:type="dxa" w:w="5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Effect on this plan</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OD-02</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Country of establishment of NovaTriage Analytics Ltd.</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Determines whether GAP-06 requires a Chapter V instrument or is satisfied by an Article 28 processing agreement alone. Until answered, the corpus export at GAP-02 should not proceed.</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OD-03</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Measured human review rate, override rate and reviewer authority</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GAP-05 cannot be closed by instrumentation alone. The control establishes the measurement; the measurement may show the Article 22 position does not hold, in which case the mitigation becomes a redesign rather than a metric.</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OD-07</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Whether self-reported ethnicity is a model input feature or a monitoring dimension</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If an input feature, GAP-04's pipeline controls do not remedy it. Removal from the feature set and a disparate-impact assessment on already-trained models would be required, as a new gap.</w:t>
            </w:r>
          </w:p>
        </w:tc>
      </w:tr>
    </w:tbl>
    <w:p>
      <w:pPr>
        <w:spacing w:after="200" w:before="0"/>
      </w:pPr>
      <w:r>
        <w:rPr>
          <w:rFonts w:ascii="Arial" w:cs="Arial" w:eastAsia="Arial" w:hAnsi="Arial"/>
          <w:sz w:val="20"/>
          <w:szCs w:val="20"/>
        </w:rPr>
        <w:t xml:space="preserve"/>
      </w:r>
    </w:p>
    <w:p>
      <w:pPr>
        <w:spacing w:after="100" w:before="0"/>
      </w:pPr>
      <w:r>
        <w:rPr>
          <w:rFonts w:ascii="Arial" w:cs="Arial" w:eastAsia="Arial" w:hAnsi="Arial"/>
          <w:i/>
          <w:iCs/>
          <w:color w:val="595959"/>
          <w:sz w:val="17"/>
          <w:szCs w:val="17"/>
        </w:rPr>
        <w:t xml:space="preserve">Prepared by the AI Governance Lead, Meridian Health Partners Ltd., 3 July 2026. This plan supersedes the mitigation entries in the scenario package's Section 3.2 formal mitigation matrix, which contained two entries, one of which had an empty effectiveness criterion.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MHP-AI-GOV-2026-PKG01 — DPIA Mitigation Plan — Internal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Mitigation Plan — Insurance Claims Triage AI</dc:title>
  <dc:creator>AI Governance Lead, Meridian Health Partners</dc:creator>
  <cp:lastModifiedBy>Un-named</cp:lastModifiedBy>
  <cp:revision>1</cp:revision>
  <dcterms:created xsi:type="dcterms:W3CDTF">2026-08-26T04:10:29.181Z</dcterms:created>
  <dcterms:modified xsi:type="dcterms:W3CDTF">2026-08-26T04:10:29.181Z</dcterms:modified>
</cp:coreProperties>
</file>

<file path=docProps/custom.xml><?xml version="1.0" encoding="utf-8"?>
<Properties xmlns="http://schemas.openxmlformats.org/officeDocument/2006/custom-properties" xmlns:vt="http://schemas.openxmlformats.org/officeDocument/2006/docPropsVTypes"/>
</file>