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b365d"/>
          <w:sz w:val="40"/>
          <w:szCs w:val="40"/>
          <w:rtl w:val="0"/>
        </w:rPr>
        <w:t xml:space="preserve">DE-IDENTIFICATION COMPARISON MATRIX</w:t>
      </w:r>
      <w:r w:rsidDel="00000000" w:rsidR="00000000" w:rsidRPr="00000000">
        <w:rPr>
          <w:rtl w:val="0"/>
        </w:rPr>
      </w:r>
    </w:p>
    <w:p w:rsidR="00000000" w:rsidDel="00000000" w:rsidP="00000000" w:rsidRDefault="00000000" w:rsidRPr="00000000" w14:paraId="00000002">
      <w:pPr>
        <w:spacing w:after="320" w:lineRule="auto"/>
        <w:rPr/>
      </w:pPr>
      <w:r w:rsidDel="00000000" w:rsidR="00000000" w:rsidRPr="00000000">
        <w:rPr>
          <w:i w:val="1"/>
          <w:iCs w:val="1"/>
          <w:color w:val="5c768d"/>
          <w:rtl w:val="0"/>
        </w:rPr>
        <w:t xml:space="preserve">Evaluation Framework for Training Corpus Legal Compliance</w:t>
      </w:r>
      <w:r w:rsidDel="00000000" w:rsidR="00000000" w:rsidRPr="00000000">
        <w:rPr>
          <w:rtl w:val="0"/>
        </w:rPr>
      </w:r>
    </w:p>
    <w:tbl>
      <w:tblPr>
        <w:tblStyle w:val="Table1"/>
        <w:tblW w:w="936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9fafb" w:val="clear"/>
            <w:tcMar>
              <w:top w:w="100.0" w:type="dxa"/>
              <w:left w:w="120.0" w:type="dxa"/>
              <w:bottom w:w="100.0" w:type="dxa"/>
              <w:right w:w="120.0" w:type="dxa"/>
            </w:tcMar>
          </w:tcPr>
          <w:p w:rsidR="00000000" w:rsidDel="00000000" w:rsidP="00000000" w:rsidRDefault="00000000" w:rsidRPr="00000000" w14:paraId="00000003">
            <w:pPr>
              <w:spacing w:after="0" w:lineRule="auto"/>
              <w:rPr/>
            </w:pPr>
            <w:r w:rsidDel="00000000" w:rsidR="00000000" w:rsidRPr="00000000">
              <w:rPr>
                <w:b w:val="1"/>
                <w:bCs w:val="1"/>
                <w:sz w:val="19"/>
                <w:szCs w:val="19"/>
                <w:rtl w:val="0"/>
              </w:rPr>
              <w:t xml:space="preserve">Project System:</w:t>
            </w:r>
            <w:r w:rsidDel="00000000" w:rsidR="00000000" w:rsidRPr="00000000">
              <w:rPr>
                <w:sz w:val="19"/>
                <w:szCs w:val="19"/>
                <w:rtl w:val="0"/>
              </w:rPr>
              <w:t xml:space="preserve"> Insurance Claims Triage AI</w:t>
            </w:r>
            <w:r w:rsidDel="00000000" w:rsidR="00000000" w:rsidRPr="00000000">
              <w:rPr>
                <w:rtl w:val="0"/>
              </w:rPr>
            </w:r>
          </w:p>
        </w:tc>
        <w:tc>
          <w:tcPr>
            <w:shd w:fill="f9fafb" w:val="clear"/>
            <w:tcMar>
              <w:top w:w="100.0" w:type="dxa"/>
              <w:left w:w="120.0" w:type="dxa"/>
              <w:bottom w:w="100.0" w:type="dxa"/>
              <w:right w:w="120.0" w:type="dxa"/>
            </w:tcMar>
          </w:tcPr>
          <w:p w:rsidR="00000000" w:rsidDel="00000000" w:rsidP="00000000" w:rsidRDefault="00000000" w:rsidRPr="00000000" w14:paraId="00000004">
            <w:pPr>
              <w:spacing w:after="0" w:lineRule="auto"/>
              <w:rPr/>
            </w:pPr>
            <w:r w:rsidDel="00000000" w:rsidR="00000000" w:rsidRPr="00000000">
              <w:rPr>
                <w:b w:val="1"/>
                <w:bCs w:val="1"/>
                <w:sz w:val="19"/>
                <w:szCs w:val="19"/>
                <w:rtl w:val="0"/>
              </w:rPr>
              <w:t xml:space="preserve">Document Reference:</w:t>
            </w:r>
            <w:r w:rsidDel="00000000" w:rsidR="00000000" w:rsidRPr="00000000">
              <w:rPr>
                <w:sz w:val="19"/>
                <w:szCs w:val="19"/>
                <w:rtl w:val="0"/>
              </w:rPr>
              <w:t xml:space="preserve"> MHP-DEID-MATRIX-2026</w:t>
            </w:r>
            <w:r w:rsidDel="00000000" w:rsidR="00000000" w:rsidRPr="00000000">
              <w:rPr>
                <w:rtl w:val="0"/>
              </w:rPr>
            </w:r>
          </w:p>
        </w:tc>
      </w:tr>
      <w:tr>
        <w:trPr>
          <w:cantSplit w:val="0"/>
          <w:tblHeader w:val="0"/>
        </w:trPr>
        <w:tc>
          <w:tcPr>
            <w:shd w:fill="f9fafb" w:val="clear"/>
            <w:tcMar>
              <w:top w:w="100.0" w:type="dxa"/>
              <w:left w:w="120.0" w:type="dxa"/>
              <w:bottom w:w="100.0" w:type="dxa"/>
              <w:right w:w="120.0" w:type="dxa"/>
            </w:tcMar>
          </w:tcPr>
          <w:p w:rsidR="00000000" w:rsidDel="00000000" w:rsidP="00000000" w:rsidRDefault="00000000" w:rsidRPr="00000000" w14:paraId="00000005">
            <w:pPr>
              <w:spacing w:after="0" w:lineRule="auto"/>
              <w:rPr/>
            </w:pPr>
            <w:r w:rsidDel="00000000" w:rsidR="00000000" w:rsidRPr="00000000">
              <w:rPr>
                <w:b w:val="1"/>
                <w:bCs w:val="1"/>
                <w:sz w:val="19"/>
                <w:szCs w:val="19"/>
                <w:rtl w:val="0"/>
              </w:rPr>
              <w:t xml:space="preserve">Completed By:</w:t>
            </w:r>
            <w:r w:rsidDel="00000000" w:rsidR="00000000" w:rsidRPr="00000000">
              <w:rPr>
                <w:sz w:val="19"/>
                <w:szCs w:val="19"/>
                <w:rtl w:val="0"/>
              </w:rPr>
              <w:t xml:space="preserve"> AI Governance Lead</w:t>
            </w:r>
            <w:r w:rsidDel="00000000" w:rsidR="00000000" w:rsidRPr="00000000">
              <w:rPr>
                <w:rtl w:val="0"/>
              </w:rPr>
            </w:r>
          </w:p>
        </w:tc>
        <w:tc>
          <w:tcPr>
            <w:shd w:fill="f9fafb" w:val="clear"/>
            <w:tcMar>
              <w:top w:w="100.0" w:type="dxa"/>
              <w:left w:w="120.0" w:type="dxa"/>
              <w:bottom w:w="100.0" w:type="dxa"/>
              <w:right w:w="120.0" w:type="dxa"/>
            </w:tcMar>
          </w:tcPr>
          <w:p w:rsidR="00000000" w:rsidDel="00000000" w:rsidP="00000000" w:rsidRDefault="00000000" w:rsidRPr="00000000" w14:paraId="00000006">
            <w:pPr>
              <w:spacing w:after="0" w:lineRule="auto"/>
              <w:rPr/>
            </w:pPr>
            <w:r w:rsidDel="00000000" w:rsidR="00000000" w:rsidRPr="00000000">
              <w:rPr>
                <w:b w:val="1"/>
                <w:bCs w:val="1"/>
                <w:sz w:val="19"/>
                <w:szCs w:val="19"/>
                <w:rtl w:val="0"/>
              </w:rPr>
              <w:t xml:space="preserve">Date of Evaluation:</w:t>
            </w:r>
            <w:r w:rsidDel="00000000" w:rsidR="00000000" w:rsidRPr="00000000">
              <w:rPr>
                <w:sz w:val="19"/>
                <w:szCs w:val="19"/>
                <w:rtl w:val="0"/>
              </w:rPr>
              <w:t xml:space="preserve"> July 3, 2026</w:t>
            </w:r>
            <w:r w:rsidDel="00000000" w:rsidR="00000000" w:rsidRPr="00000000">
              <w:rPr>
                <w:rtl w:val="0"/>
              </w:rPr>
            </w:r>
          </w:p>
        </w:tc>
      </w:tr>
    </w:tbl>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keepNext w:val="1"/>
        <w:spacing w:before="360" w:lineRule="auto"/>
        <w:rPr/>
      </w:pPr>
      <w:r w:rsidDel="00000000" w:rsidR="00000000" w:rsidRPr="00000000">
        <w:rPr>
          <w:b w:val="1"/>
          <w:bCs w:val="1"/>
          <w:color w:val="1b365d"/>
          <w:sz w:val="30"/>
          <w:szCs w:val="30"/>
          <w:rtl w:val="0"/>
        </w:rPr>
        <w:t xml:space="preserve">SECTION 1 | STRATEGIC DE-IDENTIFICATION RECOMMENDATION</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Selected Technique: </w:t>
      </w:r>
      <w:r w:rsidDel="00000000" w:rsidR="00000000" w:rsidRPr="00000000">
        <w:rPr>
          <w:rtl w:val="0"/>
        </w:rPr>
        <w:t xml:space="preserve">Hybrid NLP-Driven Named Entity Recognition (NER) Token Masking with DP-SGD (Differential Privacy Stochastic Gradient Descent) Model Fine-Tuning.</w:t>
        <w:br w:type="textWrapping"/>
        <w:br w:type="textWrapping"/>
      </w:r>
      <w:r w:rsidDel="00000000" w:rsidR="00000000" w:rsidRPr="00000000">
        <w:rPr>
          <w:b w:val="1"/>
          <w:bCs w:val="1"/>
          <w:rtl w:val="0"/>
        </w:rPr>
        <w:t xml:space="preserve">Justification and Regulatory Alignment: </w:t>
      </w:r>
      <w:r w:rsidDel="00000000" w:rsidR="00000000" w:rsidRPr="00000000">
        <w:rPr>
          <w:rtl w:val="0"/>
        </w:rPr>
        <w:t xml:space="preserve">Training a Large Language Model (LLM) on unstructured health insurance claims data containing Article 9 fields requires balancing extreme data utility (syntax comprehension, medical risk semantic indicators) with absolute privacy protections. Traditional pseudonymization is highly vulnerable to link-attack and stylometric inference, while full anonymization/suppression destroys semantic coherence. A hybrid approach is selected: First, an aggressive, custom-trained clinical NLP-NER pipeline suppresses and substitutes direct and indirect identifiers (for example, patient names, clinic details, exact case dates) with synthetic category tokens. Second, to guarantee mathematical protection against model membership inference and string memorization attacks, the model training architecture incorporates Differential Privacy (DP-SGD). This strictly limits the information leakage per training sample (bounded by strict epsilon-delta budgets), ensuring compliance with EDPB Guidelines 05/2020 on data minimization and model privacy boundaries.</w:t>
      </w:r>
      <w:r w:rsidDel="00000000" w:rsidR="00000000" w:rsidRPr="00000000">
        <w:rPr>
          <w:b w:val="1"/>
          <w:bCs w:val="1"/>
          <w:rtl w:val="0"/>
        </w:rPr>
        <w:br w:type="textWrapping"/>
        <w:br w:type="textWrapping"/>
        <w:t xml:space="preserve">Definitively Stated Residual Risks: </w:t>
      </w:r>
      <w:r w:rsidDel="00000000" w:rsidR="00000000" w:rsidRPr="00000000">
        <w:rPr>
          <w:rtl w:val="0"/>
        </w:rPr>
        <w:t xml:space="preserve">Despite masking direct identifiers and enforcing DP-SGD, three core residual risks remain: (1) Semantic Re-identification (quasi-identifiers embedded deep within highly unique, multi-morbidity medical narratives could still be traced back by an attacker with extensive external cross-referenced clinical knowledge); (2) Utility-to-Privacy Trade-off Degradation (the insertion of differential noise to satisfy tight epsilon bounds may reduce classification accuracy for exceptionally rare medical conditions or marginalized demographic claim profiles); (3) Model Poisoning Blind Spots (automated masking entities may suffer from false negatives such as misidentifying an obscure proper surname as an unmasked clinical condition that allows rogue text parameters into the training corpus).</w:t>
      </w:r>
    </w:p>
    <w:p w:rsidR="00000000" w:rsidDel="00000000" w:rsidP="00000000" w:rsidRDefault="00000000" w:rsidRPr="00000000" w14:paraId="0000000A">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spacing w:before="360" w:lineRule="auto"/>
        <w:rPr/>
      </w:pPr>
      <w:r w:rsidDel="00000000" w:rsidR="00000000" w:rsidRPr="00000000">
        <w:rPr>
          <w:b w:val="1"/>
          <w:bCs w:val="1"/>
          <w:color w:val="1b365d"/>
          <w:sz w:val="30"/>
          <w:szCs w:val="30"/>
          <w:rtl w:val="0"/>
        </w:rPr>
        <w:t xml:space="preserve">SECTION 2 | DE-IDENTIFICATION TECHNIQUE COMPARISON MATRIX</w:t>
      </w:r>
      <w:r w:rsidDel="00000000" w:rsidR="00000000" w:rsidRPr="00000000">
        <w:rPr>
          <w:rtl w:val="0"/>
        </w:rPr>
      </w:r>
    </w:p>
    <w:tbl>
      <w:tblPr>
        <w:tblStyle w:val="Table2"/>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728"/>
        <w:gridCol w:w="2592"/>
        <w:gridCol w:w="1584"/>
        <w:gridCol w:w="1584"/>
        <w:gridCol w:w="1872"/>
        <w:tblGridChange w:id="0">
          <w:tblGrid>
            <w:gridCol w:w="1728"/>
            <w:gridCol w:w="2592"/>
            <w:gridCol w:w="1584"/>
            <w:gridCol w:w="1584"/>
            <w:gridCol w:w="1872"/>
          </w:tblGrid>
        </w:tblGridChange>
      </w:tblGrid>
      <w:tr>
        <w:trPr>
          <w:cantSplit w:val="0"/>
          <w:tblHeader w:val="0"/>
        </w:trPr>
        <w:tc>
          <w:tcPr>
            <w:shd w:fill="1b365d" w:val="clear"/>
            <w:tcMar>
              <w:top w:w="120.0" w:type="dxa"/>
              <w:left w:w="100.0" w:type="dxa"/>
              <w:bottom w:w="120.0" w:type="dxa"/>
              <w:right w:w="100.0" w:type="dxa"/>
            </w:tcMar>
          </w:tcPr>
          <w:p w:rsidR="00000000" w:rsidDel="00000000" w:rsidP="00000000" w:rsidRDefault="00000000" w:rsidRPr="00000000" w14:paraId="0000000C">
            <w:pPr>
              <w:spacing w:after="0" w:lineRule="auto"/>
              <w:rPr/>
            </w:pPr>
            <w:r w:rsidDel="00000000" w:rsidR="00000000" w:rsidRPr="00000000">
              <w:rPr>
                <w:b w:val="1"/>
                <w:bCs w:val="1"/>
                <w:color w:val="ffffff"/>
                <w:sz w:val="19"/>
                <w:szCs w:val="19"/>
                <w:rtl w:val="0"/>
              </w:rPr>
              <w:t xml:space="preserve">Technique Name</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0D">
            <w:pPr>
              <w:spacing w:after="0" w:lineRule="auto"/>
              <w:rPr/>
            </w:pPr>
            <w:r w:rsidDel="00000000" w:rsidR="00000000" w:rsidRPr="00000000">
              <w:rPr>
                <w:b w:val="1"/>
                <w:bCs w:val="1"/>
                <w:color w:val="ffffff"/>
                <w:sz w:val="19"/>
                <w:szCs w:val="19"/>
                <w:rtl w:val="0"/>
              </w:rPr>
              <w:t xml:space="preserve">Operational Mechanism</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0E">
            <w:pPr>
              <w:spacing w:after="0" w:lineRule="auto"/>
              <w:rPr/>
            </w:pPr>
            <w:r w:rsidDel="00000000" w:rsidR="00000000" w:rsidRPr="00000000">
              <w:rPr>
                <w:b w:val="1"/>
                <w:bCs w:val="1"/>
                <w:color w:val="ffffff"/>
                <w:sz w:val="19"/>
                <w:szCs w:val="19"/>
                <w:rtl w:val="0"/>
              </w:rPr>
              <w:t xml:space="preserve">Data Utility Preserved</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0F">
            <w:pPr>
              <w:spacing w:after="0" w:lineRule="auto"/>
              <w:rPr/>
            </w:pPr>
            <w:r w:rsidDel="00000000" w:rsidR="00000000" w:rsidRPr="00000000">
              <w:rPr>
                <w:b w:val="1"/>
                <w:bCs w:val="1"/>
                <w:color w:val="ffffff"/>
                <w:sz w:val="19"/>
                <w:szCs w:val="19"/>
                <w:rtl w:val="0"/>
              </w:rPr>
              <w:t xml:space="preserve">Privacy Guarantee / Re-id Risk</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10">
            <w:pPr>
              <w:spacing w:after="0" w:lineRule="auto"/>
              <w:rPr/>
            </w:pPr>
            <w:r w:rsidDel="00000000" w:rsidR="00000000" w:rsidRPr="00000000">
              <w:rPr>
                <w:b w:val="1"/>
                <w:bCs w:val="1"/>
                <w:color w:val="ffffff"/>
                <w:sz w:val="19"/>
                <w:szCs w:val="19"/>
                <w:rtl w:val="0"/>
              </w:rPr>
              <w:t xml:space="preserve">Key Residual Risks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spacing w:after="0" w:lineRule="auto"/>
              <w:rPr/>
            </w:pPr>
            <w:r w:rsidDel="00000000" w:rsidR="00000000" w:rsidRPr="00000000">
              <w:rPr>
                <w:b w:val="1"/>
                <w:bCs w:val="1"/>
                <w:color w:val="1b365d"/>
                <w:sz w:val="18"/>
                <w:szCs w:val="18"/>
                <w:rtl w:val="0"/>
              </w:rPr>
              <w:t xml:space="preserve">1. Token-Based Pseudonymisation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2">
            <w:pPr>
              <w:spacing w:after="0" w:lineRule="auto"/>
              <w:rPr/>
            </w:pPr>
            <w:r w:rsidDel="00000000" w:rsidR="00000000" w:rsidRPr="00000000">
              <w:rPr>
                <w:sz w:val="18"/>
                <w:szCs w:val="18"/>
                <w:rtl w:val="0"/>
              </w:rPr>
              <w:t xml:space="preserve">Replaces direct identifiers (e.g., policy numbers, names) with generated alphanumeric cryptographic tokens, maintaining a separate, highly restricted relational lookup table for re-identification.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spacing w:after="0" w:lineRule="auto"/>
              <w:rPr/>
            </w:pPr>
            <w:r w:rsidDel="00000000" w:rsidR="00000000" w:rsidRPr="00000000">
              <w:rPr>
                <w:sz w:val="18"/>
                <w:szCs w:val="18"/>
                <w:rtl w:val="0"/>
              </w:rPr>
              <w:t xml:space="preserve">Maximum (100%). Unstructured text blocks, narrative grammar, clinical jargon, and linguistic formatting are completely unaltered.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4">
            <w:pPr>
              <w:spacing w:after="0" w:lineRule="auto"/>
              <w:rPr/>
            </w:pPr>
            <w:r w:rsidDel="00000000" w:rsidR="00000000" w:rsidRPr="00000000">
              <w:rPr>
                <w:sz w:val="18"/>
                <w:szCs w:val="18"/>
                <w:rtl w:val="0"/>
              </w:rPr>
              <w:t xml:space="preserve">Low. The text structure is untouched. Susceptible to internal table breaches and advanced correlation or linkage attacks.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spacing w:after="0" w:lineRule="auto"/>
              <w:rPr/>
            </w:pPr>
            <w:r w:rsidDel="00000000" w:rsidR="00000000" w:rsidRPr="00000000">
              <w:rPr>
                <w:sz w:val="18"/>
                <w:szCs w:val="18"/>
                <w:rtl w:val="0"/>
              </w:rPr>
              <w:t xml:space="preserve">High risk of context-based re-identification through unique multi-morbidity descriptions or rare medical conditions left plain text.</w:t>
            </w:r>
            <w:r w:rsidDel="00000000" w:rsidR="00000000" w:rsidRPr="00000000">
              <w:rPr>
                <w:rtl w:val="0"/>
              </w:rPr>
            </w:r>
          </w:p>
        </w:tc>
      </w:tr>
      <w:tr>
        <w:trPr>
          <w:cantSplit w:val="0"/>
          <w:tblHeader w:val="0"/>
        </w:trPr>
        <w:tc>
          <w:tcPr>
            <w:shd w:fill="f9fafb" w:val="clear"/>
            <w:tcMar>
              <w:top w:w="100.0" w:type="dxa"/>
              <w:left w:w="100.0" w:type="dxa"/>
              <w:bottom w:w="100.0" w:type="dxa"/>
              <w:right w:w="100.0" w:type="dxa"/>
            </w:tcMar>
          </w:tcPr>
          <w:p w:rsidR="00000000" w:rsidDel="00000000" w:rsidP="00000000" w:rsidRDefault="00000000" w:rsidRPr="00000000" w14:paraId="00000016">
            <w:pPr>
              <w:spacing w:after="0" w:lineRule="auto"/>
              <w:rPr/>
            </w:pPr>
            <w:r w:rsidDel="00000000" w:rsidR="00000000" w:rsidRPr="00000000">
              <w:rPr>
                <w:b w:val="1"/>
                <w:bCs w:val="1"/>
                <w:color w:val="1b365d"/>
                <w:sz w:val="18"/>
                <w:szCs w:val="18"/>
                <w:rtl w:val="0"/>
              </w:rPr>
              <w:t xml:space="preserve">2. K-Anonymity &amp; Attribute Suppression</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17">
            <w:pPr>
              <w:spacing w:after="0" w:lineRule="auto"/>
              <w:rPr/>
            </w:pPr>
            <w:r w:rsidDel="00000000" w:rsidR="00000000" w:rsidRPr="00000000">
              <w:rPr>
                <w:sz w:val="18"/>
                <w:szCs w:val="18"/>
                <w:rtl w:val="0"/>
              </w:rPr>
              <w:t xml:space="preserve">Generalizes quasi-identifiers into broad cohorts (e.g., grouping ages by decades, truncating zip codes) and suppresses individual outliers until each record matches at least K-1 others.</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18">
            <w:pPr>
              <w:spacing w:after="0" w:lineRule="auto"/>
              <w:rPr/>
            </w:pPr>
            <w:r w:rsidDel="00000000" w:rsidR="00000000" w:rsidRPr="00000000">
              <w:rPr>
                <w:sz w:val="18"/>
                <w:szCs w:val="18"/>
                <w:rtl w:val="0"/>
              </w:rPr>
              <w:t xml:space="preserve">Low for LLMs. Severely damages or destroys text utility; flattening rich narrative prose into general buckets renders text unreadable for language understanding models.</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19">
            <w:pPr>
              <w:spacing w:after="0" w:lineRule="auto"/>
              <w:rPr/>
            </w:pPr>
            <w:r w:rsidDel="00000000" w:rsidR="00000000" w:rsidRPr="00000000">
              <w:rPr>
                <w:sz w:val="18"/>
                <w:szCs w:val="18"/>
                <w:rtl w:val="0"/>
              </w:rPr>
              <w:t xml:space="preserve">Medium. Effectively prevents single-attribute identity matching, but fails to account for high-dimensional semantic prose combinations.</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1A">
            <w:pPr>
              <w:spacing w:after="0" w:lineRule="auto"/>
              <w:rPr/>
            </w:pPr>
            <w:r w:rsidDel="00000000" w:rsidR="00000000" w:rsidRPr="00000000">
              <w:rPr>
                <w:sz w:val="18"/>
                <w:szCs w:val="18"/>
                <w:rtl w:val="0"/>
              </w:rPr>
              <w:t xml:space="preserve">Attribute disclosure risk if an entire cohort shares the same clinical diagnosis (lacks L-diversity), destroying the privacy barrier.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spacing w:after="0" w:lineRule="auto"/>
              <w:rPr/>
            </w:pPr>
            <w:r w:rsidDel="00000000" w:rsidR="00000000" w:rsidRPr="00000000">
              <w:rPr>
                <w:b w:val="1"/>
                <w:bCs w:val="1"/>
                <w:color w:val="1b365d"/>
                <w:sz w:val="18"/>
                <w:szCs w:val="18"/>
                <w:rtl w:val="0"/>
              </w:rPr>
              <w:t xml:space="preserve">3. Advanced NLP-NER Masking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spacing w:after="0" w:lineRule="auto"/>
              <w:rPr/>
            </w:pPr>
            <w:r w:rsidDel="00000000" w:rsidR="00000000" w:rsidRPr="00000000">
              <w:rPr>
                <w:sz w:val="18"/>
                <w:szCs w:val="18"/>
                <w:rtl w:val="0"/>
              </w:rPr>
              <w:t xml:space="preserve">Deploys a specialized Clinical Named Entity Recognition model to detect and redact/replace direct and indirect identifiers with placeholder tags (e.g., [CLAIMANT_NAME], [CLINIC_ID]).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spacing w:after="0" w:lineRule="auto"/>
              <w:rPr/>
            </w:pPr>
            <w:r w:rsidDel="00000000" w:rsidR="00000000" w:rsidRPr="00000000">
              <w:rPr>
                <w:sz w:val="18"/>
                <w:szCs w:val="18"/>
                <w:rtl w:val="0"/>
              </w:rPr>
              <w:t xml:space="preserve">High-Medium. Retains all non-identifying medical context, structural syntax, and triage routing indicators necessary for model parsing.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spacing w:after="0" w:lineRule="auto"/>
              <w:rPr/>
            </w:pPr>
            <w:r w:rsidDel="00000000" w:rsidR="00000000" w:rsidRPr="00000000">
              <w:rPr>
                <w:sz w:val="18"/>
                <w:szCs w:val="18"/>
                <w:rtl w:val="0"/>
              </w:rPr>
              <w:t xml:space="preserve">Medium-High. Minimizes overt identification markers. However, it relies heavily on model entity recall accuracy.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spacing w:after="0" w:lineRule="auto"/>
              <w:rPr/>
            </w:pPr>
            <w:r w:rsidDel="00000000" w:rsidR="00000000" w:rsidRPr="00000000">
              <w:rPr>
                <w:sz w:val="18"/>
                <w:szCs w:val="18"/>
                <w:rtl w:val="0"/>
              </w:rPr>
              <w:t xml:space="preserve">Risk of NER false negatives leaving names unmasked; risk of re-identification via highly distinct narrative style or rare injury combinations.</w:t>
            </w:r>
            <w:r w:rsidDel="00000000" w:rsidR="00000000" w:rsidRPr="00000000">
              <w:rPr>
                <w:rtl w:val="0"/>
              </w:rPr>
            </w:r>
          </w:p>
        </w:tc>
      </w:tr>
      <w:tr>
        <w:trPr>
          <w:cantSplit w:val="0"/>
          <w:tblHeader w:val="0"/>
        </w:trPr>
        <w:tc>
          <w:tcPr>
            <w:shd w:fill="f9fafb" w:val="clear"/>
            <w:tcMar>
              <w:top w:w="100.0" w:type="dxa"/>
              <w:left w:w="100.0" w:type="dxa"/>
              <w:bottom w:w="100.0" w:type="dxa"/>
              <w:right w:w="100.0" w:type="dxa"/>
            </w:tcMar>
          </w:tcPr>
          <w:p w:rsidR="00000000" w:rsidDel="00000000" w:rsidP="00000000" w:rsidRDefault="00000000" w:rsidRPr="00000000" w14:paraId="00000020">
            <w:pPr>
              <w:spacing w:after="0" w:lineRule="auto"/>
              <w:rPr/>
            </w:pPr>
            <w:r w:rsidDel="00000000" w:rsidR="00000000" w:rsidRPr="00000000">
              <w:rPr>
                <w:b w:val="1"/>
                <w:bCs w:val="1"/>
                <w:color w:val="1b365d"/>
                <w:sz w:val="18"/>
                <w:szCs w:val="18"/>
                <w:rtl w:val="0"/>
              </w:rPr>
              <w:t xml:space="preserve">4. Differential Privacy (DP-SGD)</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21">
            <w:pPr>
              <w:spacing w:after="0" w:lineRule="auto"/>
              <w:rPr/>
            </w:pPr>
            <w:r w:rsidDel="00000000" w:rsidR="00000000" w:rsidRPr="00000000">
              <w:rPr>
                <w:sz w:val="18"/>
                <w:szCs w:val="18"/>
                <w:rtl w:val="0"/>
              </w:rPr>
              <w:t xml:space="preserve">Injects mathematically calibrated Gaussian or Laplacian noise directly into model gradients during backpropagation, placing strict bounds (epsilon, delta) on sample influence.</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22">
            <w:pPr>
              <w:spacing w:after="0" w:lineRule="auto"/>
              <w:rPr/>
            </w:pPr>
            <w:r w:rsidDel="00000000" w:rsidR="00000000" w:rsidRPr="00000000">
              <w:rPr>
                <w:sz w:val="18"/>
                <w:szCs w:val="18"/>
                <w:rtl w:val="0"/>
              </w:rPr>
              <w:t xml:space="preserve">Medium. Limits training memorization capability. Might degrade triage classification accuracy on long-tail, ultra-rare claims.</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23">
            <w:pPr>
              <w:spacing w:after="0" w:lineRule="auto"/>
              <w:rPr/>
            </w:pPr>
            <w:r w:rsidDel="00000000" w:rsidR="00000000" w:rsidRPr="00000000">
              <w:rPr>
                <w:sz w:val="18"/>
                <w:szCs w:val="18"/>
                <w:rtl w:val="0"/>
              </w:rPr>
              <w:t xml:space="preserve">Maximum (Mathematical). Formally bounds the maximum probabilistic advantage an attacker can gain in membership inference attacks.</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24">
            <w:pPr>
              <w:spacing w:after="0" w:lineRule="auto"/>
              <w:rPr/>
            </w:pPr>
            <w:r w:rsidDel="00000000" w:rsidR="00000000" w:rsidRPr="00000000">
              <w:rPr>
                <w:sz w:val="18"/>
                <w:szCs w:val="18"/>
                <w:rtl w:val="0"/>
              </w:rPr>
              <w:t xml:space="preserve">Epsilon-budget exhaustion over multiple retrains; privacy parameters do not scrub the source corpus text if viewed prior to training phases.</w:t>
            </w:r>
            <w:r w:rsidDel="00000000" w:rsidR="00000000" w:rsidRPr="00000000">
              <w:rPr>
                <w:rtl w:val="0"/>
              </w:rPr>
            </w:r>
          </w:p>
        </w:tc>
      </w:tr>
    </w:tbl>
    <w:p w:rsidR="00000000" w:rsidDel="00000000" w:rsidP="00000000" w:rsidRDefault="00000000" w:rsidRPr="00000000" w14:paraId="00000025">
      <w:pPr>
        <w:keepNext w:val="1"/>
        <w:spacing w:before="360" w:lineRule="auto"/>
        <w:rPr/>
      </w:pPr>
      <w:r w:rsidDel="00000000" w:rsidR="00000000" w:rsidRPr="00000000">
        <w:rPr>
          <w:b w:val="1"/>
          <w:bCs w:val="1"/>
          <w:color w:val="1b365d"/>
          <w:sz w:val="30"/>
          <w:szCs w:val="30"/>
          <w:rtl w:val="0"/>
        </w:rPr>
        <w:t xml:space="preserve">SECTION 3 | REGULATORY ALIGNMENT &amp; TRANSFER REFS</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Audit Note for Compliance Package Consolidation: </w:t>
        <w:br w:type="textWrapping"/>
      </w:r>
      <w:r w:rsidDel="00000000" w:rsidR="00000000" w:rsidRPr="00000000">
        <w:rPr>
          <w:rtl w:val="0"/>
        </w:rPr>
        <w:t xml:space="preserve">Pursuant to the integration requirements of the Security Operations Compliance Package, the findings documented in this Matrix must be directly mapped into the core GDPR Compliance Section of the primary Compliance Package Report. The residual risks identified in Section 1 (Semantic Re-identification, Accuracy Degradation, and NER False Negatives) must be explicitly listed as active line items inside the comprehensive Risk Disposition section of the main report, paired with their respective operational owners and target review dates. This strict cross-referencing ensures technical consistency under potential regulatory evaluation by supervisory data protection authorities.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HXwwHqPbekQJYtaa51StxymBrA==">CgMxLjA4AHIhMTB6M2F3WWdwUUNTWnZMRlpKTnNUekpFemU1aXUzZ0tk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