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4"/>
          <w:szCs w:val="34"/>
        </w:rPr>
        <w:t xml:space="preserve">DE-IDENTIFICATION COMPARISON MATRIX</w:t>
      </w:r>
    </w:p>
    <w:p>
      <w:pPr>
        <w:spacing w:after="240"/>
      </w:pPr>
      <w:r>
        <w:rPr>
          <w:rFonts w:ascii="Arial" w:cs="Arial" w:eastAsia="Arial" w:hAnsi="Arial"/>
          <w:color w:val="2E5496"/>
          <w:sz w:val="23"/>
          <w:szCs w:val="23"/>
        </w:rPr>
        <w:t xml:space="preserve">Training corpus evaluation — Insurance Claims Triage AI (ClaimsTriage) v2.4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Controller</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Meridian Health Partners Ltd.</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Document Reference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MHP-DEID-MATRIX-2026</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Corpus Under Evaluation</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Historical claim narratives, supporting medical documentation and adjuster notes (RoPA records P-03, P-06), for export to NovaTriage Analytics Ltd. (P-10)</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Completed By</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AI Governance Lead</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Date of Evaluation</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3 July 2026</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Package Reference</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MHP-AI-GOV-2026-PKG01</w:t>
            </w:r>
          </w:p>
        </w:tc>
      </w:tr>
    </w:tbl>
    <w:p>
      <w:pPr>
        <w:pStyle w:val="Heading1"/>
        <w:keepNext/>
        <w:spacing w:after="160" w:before="320"/>
      </w:pPr>
      <w:r>
        <w:rPr>
          <w:rFonts w:ascii="Arial" w:cs="Arial" w:eastAsia="Arial" w:hAnsi="Arial"/>
          <w:b/>
          <w:bCs/>
          <w:color w:val="1F3864"/>
          <w:sz w:val="26"/>
          <w:szCs w:val="26"/>
        </w:rPr>
        <w:t xml:space="preserve">Section 1 — Recommendation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E2EFDA" w:color="auto" w:val="clear"/>
            <w:tcMar>
              <w:top w:type="dxa" w:w="70"/>
              <w:left w:type="dxa" w:w="110"/>
              <w:bottom w:type="dxa" w:w="70"/>
              <w:right w:type="dxa" w:w="110"/>
            </w:tcMar>
          </w:tcPr>
          <w:p>
            <w:pPr>
              <w:spacing w:after="0"/>
            </w:pPr>
            <w:r>
              <w:rPr>
                <w:rFonts w:ascii="Arial" w:cs="Arial" w:eastAsia="Arial" w:hAnsi="Arial"/>
                <w:b/>
                <w:bCs/>
                <w:color w:val="1F6B3B"/>
                <w:sz w:val="18"/>
                <w:szCs w:val="18"/>
              </w:rPr>
              <w:t xml:space="preserve">RECOMMENDATION</w:t>
            </w:r>
          </w:p>
        </w:tc>
        <w:tc>
          <w:tcPr>
            <w:tcW w:type="dxa" w:w="7480"/>
            <w:tcMar>
              <w:top w:type="dxa" w:w="70"/>
              <w:left w:type="dxa" w:w="110"/>
              <w:bottom w:type="dxa" w:w="70"/>
              <w:right w:type="dxa" w:w="110"/>
            </w:tcMar>
          </w:tcPr>
          <w:p>
            <w:pPr>
              <w:spacing w:after="0"/>
            </w:pPr>
            <w:r>
              <w:rPr>
                <w:rFonts w:ascii="Arial" w:cs="Arial" w:eastAsia="Arial" w:hAnsi="Arial"/>
                <w:b/>
                <w:bCs/>
                <w:sz w:val="18"/>
                <w:szCs w:val="18"/>
              </w:rPr>
              <w:t xml:space="preserve">Hybrid: clinical NLP-NER token masking applied to the corpus before export, combined with Differential Privacy (DP-SGD) applied to the model training run.</w:t>
            </w:r>
          </w:p>
        </w:tc>
      </w:tr>
    </w:tbl>
    <w:p>
      <w:pPr>
        <w:spacing w:after="140" w:before="0"/>
      </w:pPr>
      <w:r>
        <w:rPr>
          <w:rFonts w:ascii="Arial" w:cs="Arial" w:eastAsia="Arial" w:hAnsi="Arial"/>
          <w:sz w:val="20"/>
          <w:szCs w:val="20"/>
        </w:rPr>
        <w:t xml:space="preserve"/>
      </w:r>
    </w:p>
    <w:p>
      <w:pPr>
        <w:pStyle w:val="Heading2"/>
        <w:keepNext/>
        <w:spacing w:after="120" w:before="260"/>
      </w:pPr>
      <w:r>
        <w:rPr>
          <w:rFonts w:ascii="Arial" w:cs="Arial" w:eastAsia="Arial" w:hAnsi="Arial"/>
          <w:b/>
          <w:bCs/>
          <w:color w:val="2E5496"/>
          <w:sz w:val="22"/>
          <w:szCs w:val="22"/>
        </w:rPr>
        <w:t xml:space="preserve">1.1  Why two controls rather than one</w:t>
      </w:r>
    </w:p>
    <w:p>
      <w:pPr>
        <w:spacing w:after="110" w:before="0"/>
      </w:pPr>
      <w:r>
        <w:rPr>
          <w:rFonts w:ascii="Arial" w:cs="Arial" w:eastAsia="Arial" w:hAnsi="Arial"/>
          <w:sz w:val="20"/>
          <w:szCs w:val="20"/>
        </w:rPr>
        <w:t xml:space="preserve">The deployment presents two distinct exposures, and no single technique in this matrix addresses both.</w:t>
      </w:r>
    </w:p>
    <w:p>
      <w:pPr>
        <w:spacing w:after="110" w:before="0"/>
      </w:pPr>
      <w:r>
        <w:rPr>
          <w:rFonts w:ascii="Arial" w:cs="Arial" w:eastAsia="Arial" w:hAnsi="Arial"/>
          <w:sz w:val="20"/>
          <w:szCs w:val="20"/>
        </w:rPr>
        <w:t xml:space="preserve">The first is corpus confidentiality. A dataset of Article 9 clinical narratives leaves Meridian's trust boundary and is held on a third party's infrastructure. What protects it must operate on the exported artefact itself.</w:t>
      </w:r>
    </w:p>
    <w:p>
      <w:pPr>
        <w:spacing w:after="110" w:before="0"/>
      </w:pPr>
      <w:r>
        <w:rPr>
          <w:rFonts w:ascii="Arial" w:cs="Arial" w:eastAsia="Arial" w:hAnsi="Arial"/>
          <w:sz w:val="20"/>
          <w:szCs w:val="20"/>
        </w:rPr>
        <w:t xml:space="preserve">The second is model memorisation. A large language model trained on clinical narratives can memorise and reproduce training text, and is vulnerable to membership inference — an attacker determining that a particular individual's record was in the training set, which for a health corpus discloses the condition by implication. What protects against that must operate on the training process.</w:t>
      </w:r>
    </w:p>
    <w:p>
      <w:pPr>
        <w:spacing w:after="110" w:before="0"/>
      </w:pPr>
      <w:r>
        <w:rPr>
          <w:rFonts w:ascii="Arial" w:cs="Arial" w:eastAsia="Arial" w:hAnsi="Arial"/>
          <w:b/>
          <w:bCs/>
          <w:sz w:val="20"/>
          <w:szCs w:val="20"/>
        </w:rPr>
        <w:t xml:space="preserve">Pairing the two is not belt-and-braces. It is the recognition that they defend different objects.</w:t>
      </w:r>
    </w:p>
    <w:p>
      <w:pPr>
        <w:pStyle w:val="Heading2"/>
        <w:keepNext/>
        <w:spacing w:after="120" w:before="260"/>
      </w:pPr>
      <w:r>
        <w:rPr>
          <w:rFonts w:ascii="Arial" w:cs="Arial" w:eastAsia="Arial" w:hAnsi="Arial"/>
          <w:b/>
          <w:bCs/>
          <w:color w:val="2E5496"/>
          <w:sz w:val="22"/>
          <w:szCs w:val="22"/>
        </w:rPr>
        <w:t xml:space="preserve">1.2  The correction this evaluation makes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FFF2CC" w:color="auto" w:val="clear"/>
            <w:tcMar>
              <w:top w:type="dxa" w:w="70"/>
              <w:left w:type="dxa" w:w="110"/>
              <w:bottom w:type="dxa" w:w="70"/>
              <w:right w:type="dxa" w:w="110"/>
            </w:tcMar>
          </w:tcPr>
          <w:p>
            <w:pPr>
              <w:spacing w:after="0"/>
            </w:pPr>
            <w:r>
              <w:rPr>
                <w:rFonts w:ascii="Arial" w:cs="Arial" w:eastAsia="Arial" w:hAnsi="Arial"/>
                <w:b/>
                <w:bCs/>
                <w:color w:val="833C00"/>
                <w:sz w:val="18"/>
                <w:szCs w:val="18"/>
              </w:rPr>
              <w:t xml:space="preserve">TECHNICAL CORRECTION</w:t>
            </w:r>
          </w:p>
        </w:tc>
        <w:tc>
          <w:tcPr>
            <w:tcW w:type="dxa" w:w="7480"/>
            <w:tcMar>
              <w:top w:type="dxa" w:w="70"/>
              <w:left w:type="dxa" w:w="110"/>
              <w:bottom w:type="dxa" w:w="70"/>
              <w:right w:type="dxa" w:w="110"/>
            </w:tcMar>
          </w:tcPr>
          <w:p>
            <w:pPr>
              <w:spacing w:after="70"/>
            </w:pPr>
            <w:r>
              <w:rPr>
                <w:rFonts w:ascii="Arial" w:cs="Arial" w:eastAsia="Arial" w:hAnsi="Arial"/>
                <w:sz w:val="18"/>
                <w:szCs w:val="18"/>
              </w:rPr>
              <w:t xml:space="preserve">The mitigation inherited from the scenario package specified differential privacy transformations applied to the historical corpora prior to export. That control cannot work as described.</w:t>
            </w:r>
          </w:p>
          <w:p>
            <w:pPr>
              <w:spacing w:after="70"/>
            </w:pPr>
            <w:r>
              <w:rPr>
                <w:rFonts w:ascii="Arial" w:cs="Arial" w:eastAsia="Arial" w:hAnsi="Arial"/>
                <w:sz w:val="18"/>
                <w:szCs w:val="18"/>
              </w:rPr>
              <w:t xml:space="preserve">DP-SGD perturbs gradients during backpropagation. It is a property of a training run, not a transformation that can be applied to a dataset and then shipped. A corpus 'processed with DP-SGD' before export is simply an unmodified corpus: every narrative in it remains as readable on the vendor's infrastructure as it was on ours.</w:t>
            </w:r>
          </w:p>
          <w:p>
            <w:pPr>
              <w:spacing w:after="70"/>
            </w:pPr>
            <w:r>
              <w:rPr>
                <w:rFonts w:ascii="Arial" w:cs="Arial" w:eastAsia="Arial" w:hAnsi="Arial"/>
                <w:sz w:val="18"/>
                <w:szCs w:val="18"/>
              </w:rPr>
              <w:t xml:space="preserve">Under the original wording, the single largest privacy exposure in the deployment — Article 9 data crossing a trust boundary — would have been documented as mitigated while remaining entirely unprotected. That is a worse position than an open gap, because an open gap is visible.</w:t>
            </w:r>
          </w:p>
          <w:p>
            <w:pPr>
              <w:spacing w:after="0"/>
            </w:pPr>
            <w:r>
              <w:rPr>
                <w:rFonts w:ascii="Arial" w:cs="Arial" w:eastAsia="Arial" w:hAnsi="Arial"/>
                <w:sz w:val="18"/>
                <w:szCs w:val="18"/>
              </w:rPr>
              <w:t xml:space="preserve">The controls are re-pointed accordingly: NER masking protects the export, DP-SGD protects the model.</w:t>
            </w:r>
          </w:p>
        </w:tc>
      </w:tr>
    </w:tbl>
    <w:p>
      <w:pPr>
        <w:spacing w:after="140" w:before="0"/>
      </w:pPr>
      <w:r>
        <w:rPr>
          <w:rFonts w:ascii="Arial" w:cs="Arial" w:eastAsia="Arial" w:hAnsi="Arial"/>
          <w:sz w:val="20"/>
          <w:szCs w:val="20"/>
        </w:rPr>
        <w:t xml:space="preserve"/>
      </w:r>
    </w:p>
    <w:p>
      <w:pPr>
        <w:pStyle w:val="Heading2"/>
        <w:keepNext/>
        <w:spacing w:after="120" w:before="260"/>
      </w:pPr>
      <w:r>
        <w:rPr>
          <w:rFonts w:ascii="Arial" w:cs="Arial" w:eastAsia="Arial" w:hAnsi="Arial"/>
          <w:b/>
          <w:bCs/>
          <w:color w:val="2E5496"/>
          <w:sz w:val="22"/>
          <w:szCs w:val="22"/>
        </w:rPr>
        <w:t xml:space="preserve">1.3  Why this is appropriate for this specific deployment</w:t>
      </w:r>
    </w:p>
    <w:p>
      <w:pPr>
        <w:spacing w:after="110" w:before="0"/>
      </w:pPr>
      <w:r>
        <w:rPr>
          <w:rFonts w:ascii="Arial" w:cs="Arial" w:eastAsia="Arial" w:hAnsi="Arial"/>
          <w:sz w:val="20"/>
          <w:szCs w:val="20"/>
        </w:rPr>
        <w:t xml:space="preserve">Three characteristics of ClaimsTriage drive the selection, and a different deployment would reach a different answer.</w:t>
      </w:r>
    </w:p>
    <w:p>
      <w:pPr>
        <w:spacing w:after="110" w:before="0"/>
      </w:pPr>
      <w:r>
        <w:rPr>
          <w:rFonts w:ascii="Arial" w:cs="Arial" w:eastAsia="Arial" w:hAnsi="Arial"/>
          <w:sz w:val="20"/>
          <w:szCs w:val="20"/>
        </w:rPr>
        <w:t xml:space="preserve">The corpus is unstructured clinical prose, not tabular records. This removes K-anonymity from consideration entirely: generalisation and suppression are defined over structured quasi-identifier columns, and there is nothing here to generalise. It also constrains what masking can achieve, because the identifying information in a narrative is distributed through the prose rather than isolated in fields.</w:t>
      </w:r>
    </w:p>
    <w:p>
      <w:pPr>
        <w:spacing w:after="110" w:before="0"/>
      </w:pPr>
      <w:r>
        <w:rPr>
          <w:rFonts w:ascii="Arial" w:cs="Arial" w:eastAsia="Arial" w:hAnsi="Arial"/>
          <w:sz w:val="20"/>
          <w:szCs w:val="20"/>
        </w:rPr>
        <w:t xml:space="preserve">The model must retain clinical semantics to function. ClaimsTriage classifies clinical gravity — it has to distinguish a presentation that needs urgent adjudication from one that does not. Every technique that flattens clinical detail degrades the thing the system exists to do, and the accuracy floor is contractual: 91.0% TPR, with the current model at 94.2%. There is 3.2 points of headroom, and de-identification spends some of it. That is the real constraint on how aggressive masking can be.</w:t>
      </w:r>
    </w:p>
    <w:p>
      <w:pPr>
        <w:spacing w:after="110" w:before="0"/>
      </w:pPr>
      <w:r>
        <w:rPr>
          <w:rFonts w:ascii="Arial" w:cs="Arial" w:eastAsia="Arial" w:hAnsi="Arial"/>
          <w:sz w:val="20"/>
          <w:szCs w:val="20"/>
        </w:rPr>
        <w:t xml:space="preserve">The corpus crosses a trust boundary to an external processor. This is what makes an export-surviving control mandatory rather than optional. Were training performed entirely in-house, DP-SGD alone with strong access control would be a defensible position. It is not defensible once the data is somewhere Meridian cannot observe.</w:t>
      </w:r>
    </w:p>
    <w:p>
      <w:pPr>
        <w:pStyle w:val="Heading2"/>
        <w:keepNext/>
        <w:spacing w:after="120" w:before="260"/>
      </w:pPr>
      <w:r>
        <w:rPr>
          <w:rFonts w:ascii="Arial" w:cs="Arial" w:eastAsia="Arial" w:hAnsi="Arial"/>
          <w:b/>
          <w:bCs/>
          <w:color w:val="2E5496"/>
          <w:sz w:val="22"/>
          <w:szCs w:val="22"/>
        </w:rPr>
        <w:t xml:space="preserve">1.4  What this recommendation does not claim</w:t>
      </w:r>
    </w:p>
    <w:p>
      <w:pPr>
        <w:spacing w:after="110" w:before="0"/>
      </w:pPr>
      <w:r>
        <w:rPr>
          <w:rFonts w:ascii="Arial" w:cs="Arial" w:eastAsia="Arial" w:hAnsi="Arial"/>
          <w:sz w:val="20"/>
          <w:szCs w:val="20"/>
        </w:rPr>
        <w:t xml:space="preserve">The output is not anonymous data. NER-masked narratives remain personal data under Article 4(5) and Recital 26: means reasonably likely to be used for re-identification still exist, because the quasi-identifiers are in the prose and cannot be removed without destroying utility. The corpus is pseudonymised to a high standard, and the full weight of the GDPR continues to apply to it.</w:t>
      </w:r>
    </w:p>
    <w:p>
      <w:pPr>
        <w:spacing w:after="110" w:before="0"/>
      </w:pPr>
      <w:r>
        <w:rPr>
          <w:rFonts w:ascii="Arial" w:cs="Arial" w:eastAsia="Arial" w:hAnsi="Arial"/>
          <w:b/>
          <w:bCs/>
          <w:sz w:val="20"/>
          <w:szCs w:val="20"/>
        </w:rPr>
        <w:t xml:space="preserve">This matters practically. Because the corpus is not anonymised, the export remains a transfer of personal data, and the Article 28 processing agreement and the Chapter V determination at DPIA GAP-06 carry the protection that de-identification cannot. Treating the masked corpus as anonymous would remove exactly those safeguards at the moment they are most needed.</w:t>
      </w:r>
    </w:p>
    <w:p>
      <w:pPr>
        <w:spacing w:after="110" w:before="0"/>
      </w:pPr>
      <w:r>
        <w:rPr>
          <w:rFonts w:ascii="Arial" w:cs="Arial" w:eastAsia="Arial" w:hAnsi="Arial"/>
          <w:sz w:val="20"/>
          <w:szCs w:val="20"/>
        </w:rPr>
        <w:t xml:space="preserve">Nor does DP-SGD make the model anonymous. It bounds membership inference advantage by a stated epsilon; it does not reduce it to zero, and a weak epsilon bounds very little. The guarantee is only as strong as the budget, which is why the budget must be documented and accounted cumulatively rather than described as 'differential privacy applied'.</w:t>
      </w:r>
    </w:p>
    <w:p>
      <w:r>
        <w:br w:type="page"/>
      </w:r>
    </w:p>
    <w:p>
      <w:pPr>
        <w:pStyle w:val="Heading1"/>
        <w:keepNext/>
        <w:spacing w:after="160" w:before="320"/>
      </w:pPr>
      <w:r>
        <w:rPr>
          <w:rFonts w:ascii="Arial" w:cs="Arial" w:eastAsia="Arial" w:hAnsi="Arial"/>
          <w:b/>
          <w:bCs/>
          <w:color w:val="1F3864"/>
          <w:sz w:val="26"/>
          <w:szCs w:val="26"/>
        </w:rPr>
        <w:t xml:space="preserve">Section 2 — Technique Comparison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50"/>
        <w:gridCol w:w="2050"/>
        <w:gridCol w:w="1550"/>
        <w:gridCol w:w="1550"/>
        <w:gridCol w:w="1600"/>
        <w:gridCol w:w="1580"/>
      </w:tblGrid>
      <w:tr>
        <w:trPr>
          <w:tblHeader/>
        </w:trPr>
        <w:tc>
          <w:tcPr>
            <w:tcW w:type="dxa" w:w="175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5"/>
                <w:szCs w:val="15"/>
              </w:rPr>
              <w:t xml:space="preserve">Technique</w:t>
            </w:r>
          </w:p>
        </w:tc>
        <w:tc>
          <w:tcPr>
            <w:tcW w:type="dxa" w:w="205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5"/>
                <w:szCs w:val="15"/>
              </w:rPr>
              <w:t xml:space="preserve">Operational Mechanism</w:t>
            </w:r>
          </w:p>
        </w:tc>
        <w:tc>
          <w:tcPr>
            <w:tcW w:type="dxa" w:w="155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5"/>
                <w:szCs w:val="15"/>
              </w:rPr>
              <w:t xml:space="preserve">Data Utility Preserved</w:t>
            </w:r>
          </w:p>
        </w:tc>
        <w:tc>
          <w:tcPr>
            <w:tcW w:type="dxa" w:w="155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5"/>
                <w:szCs w:val="15"/>
              </w:rPr>
              <w:t xml:space="preserve">Privacy Guarantee / Re-id Risk</w:t>
            </w:r>
          </w:p>
        </w:tc>
        <w:tc>
          <w:tcPr>
            <w:tcW w:type="dxa" w:w="16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5"/>
                <w:szCs w:val="15"/>
              </w:rPr>
              <w:t xml:space="preserve">Key Residual Risks</w:t>
            </w:r>
          </w:p>
        </w:tc>
        <w:tc>
          <w:tcPr>
            <w:tcW w:type="dxa" w:w="15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5"/>
                <w:szCs w:val="15"/>
              </w:rPr>
              <w:t xml:space="preserve">Verdict for This Deployment</w:t>
            </w:r>
          </w:p>
        </w:tc>
      </w:tr>
      <w:tr>
        <w:tc>
          <w:tcPr>
            <w:tcW w:type="dxa" w:w="1750"/>
            <w:tcMar>
              <w:top w:type="dxa" w:w="70"/>
              <w:left w:type="dxa" w:w="110"/>
              <w:bottom w:type="dxa" w:w="70"/>
              <w:right w:type="dxa" w:w="110"/>
            </w:tcMar>
          </w:tcPr>
          <w:p>
            <w:pPr>
              <w:spacing w:after="0"/>
            </w:pPr>
            <w:r>
              <w:rPr>
                <w:rFonts w:ascii="Arial" w:cs="Arial" w:eastAsia="Arial" w:hAnsi="Arial"/>
                <w:sz w:val="15"/>
                <w:szCs w:val="15"/>
              </w:rPr>
              <w:t xml:space="preserve">1. Token-Based Pseudonymisation</w:t>
            </w:r>
          </w:p>
        </w:tc>
        <w:tc>
          <w:tcPr>
            <w:tcW w:type="dxa" w:w="2050"/>
            <w:tcMar>
              <w:top w:type="dxa" w:w="70"/>
              <w:left w:type="dxa" w:w="110"/>
              <w:bottom w:type="dxa" w:w="70"/>
              <w:right w:type="dxa" w:w="110"/>
            </w:tcMar>
          </w:tcPr>
          <w:p>
            <w:pPr>
              <w:spacing w:after="0"/>
            </w:pPr>
            <w:r>
              <w:rPr>
                <w:rFonts w:ascii="Arial" w:cs="Arial" w:eastAsia="Arial" w:hAnsi="Arial"/>
                <w:sz w:val="15"/>
                <w:szCs w:val="15"/>
              </w:rPr>
              <w:t xml:space="preserve">Replaces direct identifiers — name, policy number, member ID — with cryptographic tokens, retaining a separately held lookup table permitting re-identification.</w:t>
            </w:r>
          </w:p>
        </w:tc>
        <w:tc>
          <w:tcPr>
            <w:tcW w:type="dxa" w:w="1550"/>
            <w:tcMar>
              <w:top w:type="dxa" w:w="70"/>
              <w:left w:type="dxa" w:w="110"/>
              <w:bottom w:type="dxa" w:w="70"/>
              <w:right w:type="dxa" w:w="110"/>
            </w:tcMar>
          </w:tcPr>
          <w:p>
            <w:pPr>
              <w:spacing w:after="0"/>
            </w:pPr>
            <w:r>
              <w:rPr>
                <w:rFonts w:ascii="Arial" w:cs="Arial" w:eastAsia="Arial" w:hAnsi="Arial"/>
                <w:sz w:val="15"/>
                <w:szCs w:val="15"/>
              </w:rPr>
              <w:t xml:space="preserve">Maximum. Narrative grammar, clinical jargon and formatting survive completely unaltered; the model sees text indistinguishable from the original except at identifier positions.</w:t>
            </w:r>
          </w:p>
        </w:tc>
        <w:tc>
          <w:tcPr>
            <w:tcW w:type="dxa" w:w="1550"/>
            <w:tcMar>
              <w:top w:type="dxa" w:w="70"/>
              <w:left w:type="dxa" w:w="110"/>
              <w:bottom w:type="dxa" w:w="70"/>
              <w:right w:type="dxa" w:w="110"/>
            </w:tcMar>
          </w:tcPr>
          <w:p>
            <w:pPr>
              <w:spacing w:after="0"/>
            </w:pPr>
            <w:r>
              <w:rPr>
                <w:rFonts w:ascii="Arial" w:cs="Arial" w:eastAsia="Arial" w:hAnsi="Arial"/>
                <w:sz w:val="15"/>
                <w:szCs w:val="15"/>
              </w:rPr>
              <w:t xml:space="preserve">LOW. The mapping key exists, so the data remains personal data under Article 4(5) by definition. Text structure is untouched, leaving every quasi-identifier in place.</w:t>
            </w:r>
          </w:p>
        </w:tc>
        <w:tc>
          <w:tcPr>
            <w:tcW w:type="dxa" w:w="1600"/>
            <w:tcMar>
              <w:top w:type="dxa" w:w="70"/>
              <w:left w:type="dxa" w:w="110"/>
              <w:bottom w:type="dxa" w:w="70"/>
              <w:right w:type="dxa" w:w="110"/>
            </w:tcMar>
          </w:tcPr>
          <w:p>
            <w:pPr>
              <w:spacing w:after="0"/>
            </w:pPr>
            <w:r>
              <w:rPr>
                <w:rFonts w:ascii="Arial" w:cs="Arial" w:eastAsia="Arial" w:hAnsi="Arial"/>
                <w:sz w:val="15"/>
                <w:szCs w:val="15"/>
              </w:rPr>
              <w:t xml:space="preserve">Context-based re-identification through unique multi-morbidity descriptions, rare conditions or distinctive injury mechanisms left in plain text. Compromise of the lookup table re-identifies the entire corpus at once.</w:t>
            </w:r>
          </w:p>
        </w:tc>
        <w:tc>
          <w:tcPr>
            <w:tcW w:type="dxa" w:w="1580"/>
            <w:tcMar>
              <w:top w:type="dxa" w:w="70"/>
              <w:left w:type="dxa" w:w="110"/>
              <w:bottom w:type="dxa" w:w="70"/>
              <w:right w:type="dxa" w:w="110"/>
            </w:tcMar>
          </w:tcPr>
          <w:p>
            <w:pPr>
              <w:spacing w:after="0"/>
            </w:pPr>
            <w:r>
              <w:rPr>
                <w:rFonts w:ascii="Arial" w:cs="Arial" w:eastAsia="Arial" w:hAnsi="Arial"/>
                <w:sz w:val="15"/>
                <w:szCs w:val="15"/>
              </w:rPr>
              <w:t xml:space="preserve">REJECTED as the primary control. Fails the EDPB linkability test on its own terms: the key exists and the narrative context is structurally intact. Adequate for internal operational use where re-identification is a feature; inadequate for export beyond the trust boundary.</w:t>
            </w:r>
          </w:p>
        </w:tc>
      </w:tr>
      <w:tr>
        <w:tc>
          <w:tcPr>
            <w:tcW w:type="dxa" w:w="1750"/>
            <w:tcMar>
              <w:top w:type="dxa" w:w="70"/>
              <w:left w:type="dxa" w:w="110"/>
              <w:bottom w:type="dxa" w:w="70"/>
              <w:right w:type="dxa" w:w="110"/>
            </w:tcMar>
          </w:tcPr>
          <w:p>
            <w:pPr>
              <w:spacing w:after="0"/>
            </w:pPr>
            <w:r>
              <w:rPr>
                <w:rFonts w:ascii="Arial" w:cs="Arial" w:eastAsia="Arial" w:hAnsi="Arial"/>
                <w:sz w:val="15"/>
                <w:szCs w:val="15"/>
              </w:rPr>
              <w:t xml:space="preserve">2. K-Anonymity and Attribute Suppression</w:t>
            </w:r>
          </w:p>
        </w:tc>
        <w:tc>
          <w:tcPr>
            <w:tcW w:type="dxa" w:w="2050"/>
            <w:tcMar>
              <w:top w:type="dxa" w:w="70"/>
              <w:left w:type="dxa" w:w="110"/>
              <w:bottom w:type="dxa" w:w="70"/>
              <w:right w:type="dxa" w:w="110"/>
            </w:tcMar>
          </w:tcPr>
          <w:p>
            <w:pPr>
              <w:spacing w:after="0"/>
            </w:pPr>
            <w:r>
              <w:rPr>
                <w:rFonts w:ascii="Arial" w:cs="Arial" w:eastAsia="Arial" w:hAnsi="Arial"/>
                <w:sz w:val="15"/>
                <w:szCs w:val="15"/>
              </w:rPr>
              <w:t xml:space="preserve">Generalises quasi-identifiers into cohorts — ages to decades, postcodes truncated — and suppresses outlier records until each is indistinguishable from at least K-1 others.</w:t>
            </w:r>
          </w:p>
        </w:tc>
        <w:tc>
          <w:tcPr>
            <w:tcW w:type="dxa" w:w="1550"/>
            <w:tcMar>
              <w:top w:type="dxa" w:w="70"/>
              <w:left w:type="dxa" w:w="110"/>
              <w:bottom w:type="dxa" w:w="70"/>
              <w:right w:type="dxa" w:w="110"/>
            </w:tcMar>
          </w:tcPr>
          <w:p>
            <w:pPr>
              <w:spacing w:after="0"/>
            </w:pPr>
            <w:r>
              <w:rPr>
                <w:rFonts w:ascii="Arial" w:cs="Arial" w:eastAsia="Arial" w:hAnsi="Arial"/>
                <w:sz w:val="15"/>
                <w:szCs w:val="15"/>
              </w:rPr>
              <w:t xml:space="preserve">LOW for language models. Generalisation operates on structured fields; applied to narrative prose it flattens the clinical detail into buckets and renders the text unusable for language understanding.</w:t>
            </w:r>
          </w:p>
        </w:tc>
        <w:tc>
          <w:tcPr>
            <w:tcW w:type="dxa" w:w="1550"/>
            <w:tcMar>
              <w:top w:type="dxa" w:w="70"/>
              <w:left w:type="dxa" w:w="110"/>
              <w:bottom w:type="dxa" w:w="70"/>
              <w:right w:type="dxa" w:w="110"/>
            </w:tcMar>
          </w:tcPr>
          <w:p>
            <w:pPr>
              <w:spacing w:after="0"/>
            </w:pPr>
            <w:r>
              <w:rPr>
                <w:rFonts w:ascii="Arial" w:cs="Arial" w:eastAsia="Arial" w:hAnsi="Arial"/>
                <w:sz w:val="15"/>
                <w:szCs w:val="15"/>
              </w:rPr>
              <w:t xml:space="preserve">MEDIUM. Prevents single-attribute identity matching but does not account for the high-dimensional combinations that free-text prose creates.</w:t>
            </w:r>
          </w:p>
        </w:tc>
        <w:tc>
          <w:tcPr>
            <w:tcW w:type="dxa" w:w="1600"/>
            <w:tcMar>
              <w:top w:type="dxa" w:w="70"/>
              <w:left w:type="dxa" w:w="110"/>
              <w:bottom w:type="dxa" w:w="70"/>
              <w:right w:type="dxa" w:w="110"/>
            </w:tcMar>
          </w:tcPr>
          <w:p>
            <w:pPr>
              <w:spacing w:after="0"/>
            </w:pPr>
            <w:r>
              <w:rPr>
                <w:rFonts w:ascii="Arial" w:cs="Arial" w:eastAsia="Arial" w:hAnsi="Arial"/>
                <w:sz w:val="15"/>
                <w:szCs w:val="15"/>
              </w:rPr>
              <w:t xml:space="preserve">Attribute disclosure where an entire cohort shares a diagnosis — K-anonymity without L-diversity reveals the condition even when it conceals the individual. Outlier suppression disproportionately removes rare presentations, which are the cases triage most needs to classify correctly.</w:t>
            </w:r>
          </w:p>
        </w:tc>
        <w:tc>
          <w:tcPr>
            <w:tcW w:type="dxa" w:w="1580"/>
            <w:tcMar>
              <w:top w:type="dxa" w:w="70"/>
              <w:left w:type="dxa" w:w="110"/>
              <w:bottom w:type="dxa" w:w="70"/>
              <w:right w:type="dxa" w:w="110"/>
            </w:tcMar>
          </w:tcPr>
          <w:p>
            <w:pPr>
              <w:spacing w:after="0"/>
            </w:pPr>
            <w:r>
              <w:rPr>
                <w:rFonts w:ascii="Arial" w:cs="Arial" w:eastAsia="Arial" w:hAnsi="Arial"/>
                <w:sz w:val="15"/>
                <w:szCs w:val="15"/>
              </w:rPr>
              <w:t xml:space="preserve">REJECTED. Designed for tabular microdata, not narrative text. Applying it here would destroy the semantic content the model exists to learn, and its outlier suppression would systematically remove the rare presentations that matter most clinically.</w:t>
            </w:r>
          </w:p>
        </w:tc>
      </w:tr>
      <w:tr>
        <w:tc>
          <w:tcPr>
            <w:tcW w:type="dxa" w:w="1750"/>
            <w:tcMar>
              <w:top w:type="dxa" w:w="70"/>
              <w:left w:type="dxa" w:w="110"/>
              <w:bottom w:type="dxa" w:w="70"/>
              <w:right w:type="dxa" w:w="110"/>
            </w:tcMar>
          </w:tcPr>
          <w:p>
            <w:pPr>
              <w:spacing w:after="0"/>
            </w:pPr>
            <w:r>
              <w:rPr>
                <w:rFonts w:ascii="Arial" w:cs="Arial" w:eastAsia="Arial" w:hAnsi="Arial"/>
                <w:sz w:val="15"/>
                <w:szCs w:val="15"/>
              </w:rPr>
              <w:t xml:space="preserve">3. Advanced NLP-NER Masking</w:t>
            </w:r>
          </w:p>
        </w:tc>
        <w:tc>
          <w:tcPr>
            <w:tcW w:type="dxa" w:w="2050"/>
            <w:tcMar>
              <w:top w:type="dxa" w:w="70"/>
              <w:left w:type="dxa" w:w="110"/>
              <w:bottom w:type="dxa" w:w="70"/>
              <w:right w:type="dxa" w:w="110"/>
            </w:tcMar>
          </w:tcPr>
          <w:p>
            <w:pPr>
              <w:spacing w:after="0"/>
            </w:pPr>
            <w:r>
              <w:rPr>
                <w:rFonts w:ascii="Arial" w:cs="Arial" w:eastAsia="Arial" w:hAnsi="Arial"/>
                <w:sz w:val="15"/>
                <w:szCs w:val="15"/>
              </w:rPr>
              <w:t xml:space="preserve">A clinical Named Entity Recognition model detects direct and indirect identifiers across unstructured text and substitutes synthetic category tokens: [CLAIMANT_NAME], [CLINIC_ID], [PRACTITIONER], [DATE].</w:t>
            </w:r>
          </w:p>
        </w:tc>
        <w:tc>
          <w:tcPr>
            <w:tcW w:type="dxa" w:w="1550"/>
            <w:tcMar>
              <w:top w:type="dxa" w:w="70"/>
              <w:left w:type="dxa" w:w="110"/>
              <w:bottom w:type="dxa" w:w="70"/>
              <w:right w:type="dxa" w:w="110"/>
            </w:tcMar>
          </w:tcPr>
          <w:p>
            <w:pPr>
              <w:spacing w:after="0"/>
            </w:pPr>
            <w:r>
              <w:rPr>
                <w:rFonts w:ascii="Arial" w:cs="Arial" w:eastAsia="Arial" w:hAnsi="Arial"/>
                <w:sz w:val="15"/>
                <w:szCs w:val="15"/>
              </w:rPr>
              <w:t xml:space="preserve">HIGH to MEDIUM. Retains clinical context, narrative syntax and triage routing indicators. Substitution rather than deletion preserves sentence structure, so the model still sees well-formed text.</w:t>
            </w:r>
          </w:p>
        </w:tc>
        <w:tc>
          <w:tcPr>
            <w:tcW w:type="dxa" w:w="1550"/>
            <w:tcMar>
              <w:top w:type="dxa" w:w="70"/>
              <w:left w:type="dxa" w:w="110"/>
              <w:bottom w:type="dxa" w:w="70"/>
              <w:right w:type="dxa" w:w="110"/>
            </w:tcMar>
          </w:tcPr>
          <w:p>
            <w:pPr>
              <w:spacing w:after="0"/>
            </w:pPr>
            <w:r>
              <w:rPr>
                <w:rFonts w:ascii="Arial" w:cs="Arial" w:eastAsia="Arial" w:hAnsi="Arial"/>
                <w:sz w:val="15"/>
                <w:szCs w:val="15"/>
              </w:rPr>
              <w:t xml:space="preserve">MEDIUM to HIGH for direct identifiers; LOW for quasi-identifiers. Effectiveness is bounded by entity recall, and recall on rare surnames and unusual facility names is materially worse than headline figures suggest.</w:t>
            </w:r>
          </w:p>
        </w:tc>
        <w:tc>
          <w:tcPr>
            <w:tcW w:type="dxa" w:w="1600"/>
            <w:tcMar>
              <w:top w:type="dxa" w:w="70"/>
              <w:left w:type="dxa" w:w="110"/>
              <w:bottom w:type="dxa" w:w="70"/>
              <w:right w:type="dxa" w:w="110"/>
            </w:tcMar>
          </w:tcPr>
          <w:p>
            <w:pPr>
              <w:spacing w:after="0"/>
            </w:pPr>
            <w:r>
              <w:rPr>
                <w:rFonts w:ascii="Arial" w:cs="Arial" w:eastAsia="Arial" w:hAnsi="Arial"/>
                <w:sz w:val="15"/>
                <w:szCs w:val="15"/>
              </w:rPr>
              <w:t xml:space="preserve">False negatives leave identifiers unmasked at a rate that is small in percentage terms and large in absolute terms across millions of records. Re-identification remains possible through distinctive narrative style or rare condition combinations that no entity recogniser will ever flag.</w:t>
            </w:r>
          </w:p>
        </w:tc>
        <w:tc>
          <w:tcPr>
            <w:tcW w:type="dxa" w:w="1580"/>
            <w:tcMar>
              <w:top w:type="dxa" w:w="70"/>
              <w:left w:type="dxa" w:w="110"/>
              <w:bottom w:type="dxa" w:w="70"/>
              <w:right w:type="dxa" w:w="110"/>
            </w:tcMar>
          </w:tcPr>
          <w:p>
            <w:pPr>
              <w:spacing w:after="0"/>
            </w:pPr>
            <w:r>
              <w:rPr>
                <w:rFonts w:ascii="Arial" w:cs="Arial" w:eastAsia="Arial" w:hAnsi="Arial"/>
                <w:sz w:val="15"/>
                <w:szCs w:val="15"/>
              </w:rPr>
              <w:t xml:space="preserve">SELECTED as the corpus-facing control. It is the only technique in this matrix that operates on the exported artefact itself and survives the transfer, and the only one that preserves the semantic content the deployment requires.</w:t>
            </w:r>
          </w:p>
        </w:tc>
      </w:tr>
      <w:tr>
        <w:tc>
          <w:tcPr>
            <w:tcW w:type="dxa" w:w="1750"/>
            <w:tcMar>
              <w:top w:type="dxa" w:w="70"/>
              <w:left w:type="dxa" w:w="110"/>
              <w:bottom w:type="dxa" w:w="70"/>
              <w:right w:type="dxa" w:w="110"/>
            </w:tcMar>
          </w:tcPr>
          <w:p>
            <w:pPr>
              <w:spacing w:after="0"/>
            </w:pPr>
            <w:r>
              <w:rPr>
                <w:rFonts w:ascii="Arial" w:cs="Arial" w:eastAsia="Arial" w:hAnsi="Arial"/>
                <w:sz w:val="15"/>
                <w:szCs w:val="15"/>
              </w:rPr>
              <w:t xml:space="preserve">4. Differential Privacy (DP-SGD)</w:t>
            </w:r>
          </w:p>
        </w:tc>
        <w:tc>
          <w:tcPr>
            <w:tcW w:type="dxa" w:w="2050"/>
            <w:tcMar>
              <w:top w:type="dxa" w:w="70"/>
              <w:left w:type="dxa" w:w="110"/>
              <w:bottom w:type="dxa" w:w="70"/>
              <w:right w:type="dxa" w:w="110"/>
            </w:tcMar>
          </w:tcPr>
          <w:p>
            <w:pPr>
              <w:spacing w:after="0"/>
            </w:pPr>
            <w:r>
              <w:rPr>
                <w:rFonts w:ascii="Arial" w:cs="Arial" w:eastAsia="Arial" w:hAnsi="Arial"/>
                <w:sz w:val="15"/>
                <w:szCs w:val="15"/>
              </w:rPr>
              <w:t xml:space="preserve">Injects calibrated Gaussian noise into model gradients during backpropagation, bounding by epsilon and delta the influence any single training sample can exert on the resulting weights.</w:t>
            </w:r>
          </w:p>
        </w:tc>
        <w:tc>
          <w:tcPr>
            <w:tcW w:type="dxa" w:w="1550"/>
            <w:tcMar>
              <w:top w:type="dxa" w:w="70"/>
              <w:left w:type="dxa" w:w="110"/>
              <w:bottom w:type="dxa" w:w="70"/>
              <w:right w:type="dxa" w:w="110"/>
            </w:tcMar>
          </w:tcPr>
          <w:p>
            <w:pPr>
              <w:spacing w:after="0"/>
            </w:pPr>
            <w:r>
              <w:rPr>
                <w:rFonts w:ascii="Arial" w:cs="Arial" w:eastAsia="Arial" w:hAnsi="Arial"/>
                <w:sz w:val="15"/>
                <w:szCs w:val="15"/>
              </w:rPr>
              <w:t xml:space="preserve">MEDIUM. Constrains memorisation, which is the point, but degrades classification accuracy on long-tail presentations where the model has few examples to generalise from.</w:t>
            </w:r>
          </w:p>
        </w:tc>
        <w:tc>
          <w:tcPr>
            <w:tcW w:type="dxa" w:w="1550"/>
            <w:tcMar>
              <w:top w:type="dxa" w:w="70"/>
              <w:left w:type="dxa" w:w="110"/>
              <w:bottom w:type="dxa" w:w="70"/>
              <w:right w:type="dxa" w:w="110"/>
            </w:tcMar>
          </w:tcPr>
          <w:p>
            <w:pPr>
              <w:spacing w:after="0"/>
            </w:pPr>
            <w:r>
              <w:rPr>
                <w:rFonts w:ascii="Arial" w:cs="Arial" w:eastAsia="Arial" w:hAnsi="Arial"/>
                <w:sz w:val="15"/>
                <w:szCs w:val="15"/>
              </w:rPr>
              <w:t xml:space="preserve">MAXIMUM, and mathematical rather than heuristic. Formally bounds the probabilistic advantage an attacker gains in a membership inference attack, and the bound holds against auxiliary information.</w:t>
            </w:r>
          </w:p>
        </w:tc>
        <w:tc>
          <w:tcPr>
            <w:tcW w:type="dxa" w:w="1600"/>
            <w:tcMar>
              <w:top w:type="dxa" w:w="70"/>
              <w:left w:type="dxa" w:w="110"/>
              <w:bottom w:type="dxa" w:w="70"/>
              <w:right w:type="dxa" w:w="110"/>
            </w:tcMar>
          </w:tcPr>
          <w:p>
            <w:pPr>
              <w:spacing w:after="0"/>
            </w:pPr>
            <w:r>
              <w:rPr>
                <w:rFonts w:ascii="Arial" w:cs="Arial" w:eastAsia="Arial" w:hAnsi="Arial"/>
                <w:sz w:val="15"/>
                <w:szCs w:val="15"/>
              </w:rPr>
              <w:t xml:space="preserve">Epsilon budget exhausts across successive retrains and must be accounted cumulatively. Critically, DP-SGD does not touch the source corpus: text readable before training remains readable, so it offers no protection to a dataset in transit or at rest.</w:t>
            </w:r>
          </w:p>
        </w:tc>
        <w:tc>
          <w:tcPr>
            <w:tcW w:type="dxa" w:w="1580"/>
            <w:tcMar>
              <w:top w:type="dxa" w:w="70"/>
              <w:left w:type="dxa" w:w="110"/>
              <w:bottom w:type="dxa" w:w="70"/>
              <w:right w:type="dxa" w:w="110"/>
            </w:tcMar>
          </w:tcPr>
          <w:p>
            <w:pPr>
              <w:spacing w:after="0"/>
            </w:pPr>
            <w:r>
              <w:rPr>
                <w:rFonts w:ascii="Arial" w:cs="Arial" w:eastAsia="Arial" w:hAnsi="Arial"/>
                <w:sz w:val="15"/>
                <w:szCs w:val="15"/>
              </w:rPr>
              <w:t xml:space="preserve">SELECTED as the model-facing control. It protects the trained model against membership inference and memorisation extraction — a distinct exposure from corpus confidentiality, requiring a distinct control.</w:t>
            </w:r>
          </w:p>
        </w:tc>
      </w:tr>
    </w:tbl>
    <w:p>
      <w:pPr>
        <w:pStyle w:val="Heading1"/>
        <w:keepNext/>
        <w:spacing w:after="160" w:before="320"/>
      </w:pPr>
      <w:r>
        <w:rPr>
          <w:rFonts w:ascii="Arial" w:cs="Arial" w:eastAsia="Arial" w:hAnsi="Arial"/>
          <w:b/>
          <w:bCs/>
          <w:color w:val="1F3864"/>
          <w:sz w:val="26"/>
          <w:szCs w:val="26"/>
        </w:rPr>
        <w:t xml:space="preserve">Section 3 — Residual Risks After Application</w:t>
      </w:r>
    </w:p>
    <w:p>
      <w:pPr>
        <w:spacing w:after="110" w:before="0"/>
      </w:pPr>
      <w:r>
        <w:rPr>
          <w:rFonts w:ascii="Arial" w:cs="Arial" w:eastAsia="Arial" w:hAnsi="Arial"/>
          <w:sz w:val="20"/>
          <w:szCs w:val="20"/>
        </w:rPr>
        <w:t xml:space="preserve">These risks remain after both controls are applied. They are stated for acceptance by the accountable owner, not resolved.</w:t>
      </w:r>
    </w:p>
    <w:p>
      <w:pPr>
        <w:pStyle w:val="Heading2"/>
        <w:keepNext/>
        <w:spacing w:after="110" w:before="280"/>
      </w:pPr>
      <w:r>
        <w:rPr>
          <w:rFonts w:ascii="Arial" w:cs="Arial" w:eastAsia="Arial" w:hAnsi="Arial"/>
          <w:b/>
          <w:bCs/>
          <w:color w:val="C00000"/>
          <w:sz w:val="21"/>
          <w:szCs w:val="21"/>
        </w:rPr>
        <w:t xml:space="preserve">R-DEID-01 — Semantic re-identification via narrative quasi-identifiers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Residual Rating</w:t>
            </w:r>
          </w:p>
        </w:tc>
        <w:tc>
          <w:tcPr>
            <w:tcW w:type="dxa" w:w="7480"/>
            <w:tcMar>
              <w:top w:type="dxa" w:w="70"/>
              <w:left w:type="dxa" w:w="110"/>
              <w:bottom w:type="dxa" w:w="70"/>
              <w:right w:type="dxa" w:w="110"/>
            </w:tcMar>
          </w:tcPr>
          <w:p>
            <w:pPr>
              <w:spacing w:after="0"/>
            </w:pPr>
            <w:r>
              <w:rPr>
                <w:rFonts w:ascii="Arial" w:cs="Arial" w:eastAsia="Arial" w:hAnsi="Arial"/>
                <w:b/>
                <w:bCs/>
                <w:color w:val="C00000"/>
                <w:sz w:val="18"/>
                <w:szCs w:val="18"/>
              </w:rPr>
              <w:t xml:space="preserve">MEDIUM</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Description</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Quasi-identifiers are embedded in the prose itself: an unusual multi-morbidity presentation, a rare procedure, a distinctive injury mechanism, an atypical treatment sequence. NER masking removes named entities; it cannot remove the clinical picture without destroying the signal the model is trained to detect. An attacker with external clinical knowledge — a treating clinician, an employer, a family member — may still single out an individual from a masked narrative.</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Risk-Reducing Measures</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Contractual restriction on re-identification attempts in the Article 28 agreement with audit rights; access control at the vendor limiting corpus access to named personnel; periodic motivated-intruder testing against a sample of the masked corpus.</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Accepting Owner</w:t>
            </w:r>
          </w:p>
        </w:tc>
        <w:tc>
          <w:tcPr>
            <w:tcW w:type="dxa" w:w="7480"/>
            <w:tcMar>
              <w:top w:type="dxa" w:w="70"/>
              <w:left w:type="dxa" w:w="110"/>
              <w:bottom w:type="dxa" w:w="70"/>
              <w:right w:type="dxa" w:w="110"/>
            </w:tcMar>
          </w:tcPr>
          <w:p>
            <w:pPr>
              <w:spacing w:after="0"/>
            </w:pPr>
            <w:r>
              <w:rPr>
                <w:rFonts w:ascii="Arial" w:cs="Arial" w:eastAsia="Arial" w:hAnsi="Arial"/>
                <w:b/>
                <w:bCs/>
                <w:sz w:val="18"/>
                <w:szCs w:val="18"/>
              </w:rPr>
              <w:t xml:space="preserve">Lead Data Privacy Officer</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Review</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Reviewed at each corpus freeze</w:t>
            </w:r>
          </w:p>
        </w:tc>
      </w:tr>
    </w:tbl>
    <w:p>
      <w:pPr>
        <w:pStyle w:val="Heading2"/>
        <w:keepNext/>
        <w:spacing w:after="110" w:before="280"/>
      </w:pPr>
      <w:r>
        <w:rPr>
          <w:rFonts w:ascii="Arial" w:cs="Arial" w:eastAsia="Arial" w:hAnsi="Arial"/>
          <w:b/>
          <w:bCs/>
          <w:color w:val="C00000"/>
          <w:sz w:val="21"/>
          <w:szCs w:val="21"/>
        </w:rPr>
        <w:t xml:space="preserve">R-DEID-02 — Utility and fairness degradation on long-tail presentations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Residual Rating</w:t>
            </w:r>
          </w:p>
        </w:tc>
        <w:tc>
          <w:tcPr>
            <w:tcW w:type="dxa" w:w="7480"/>
            <w:tcMar>
              <w:top w:type="dxa" w:w="70"/>
              <w:left w:type="dxa" w:w="110"/>
              <w:bottom w:type="dxa" w:w="70"/>
              <w:right w:type="dxa" w:w="110"/>
            </w:tcMar>
          </w:tcPr>
          <w:p>
            <w:pPr>
              <w:spacing w:after="0"/>
            </w:pPr>
            <w:r>
              <w:rPr>
                <w:rFonts w:ascii="Arial" w:cs="Arial" w:eastAsia="Arial" w:hAnsi="Arial"/>
                <w:b/>
                <w:bCs/>
                <w:color w:val="C00000"/>
                <w:sz w:val="18"/>
                <w:szCs w:val="18"/>
              </w:rPr>
              <w:t xml:space="preserve">MEDIUM</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Description</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DP-SGD noise disproportionately affects classes with few training examples, which in a clinical corpus means rare conditions and atypical claim profiles. Reduced accuracy on those cohorts is not only a utility cost: it means the claimants whose presentations are least common receive the least reliable triage, and those cohorts may correlate with demographic groups. This is a fairness exposure in a system that prioritises access to settlement, and it interacts with OD-07.</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Risk-Reducing Measures</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Stratified accuracy monitoring by condition frequency band and, subject to OD-07, by demographic dimension; epsilon tuned against measured accuracy on rare-condition cohorts rather than aggregate accuracy alone; disparate-impact assessment before each model release.</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Accepting Owner</w:t>
            </w:r>
          </w:p>
        </w:tc>
        <w:tc>
          <w:tcPr>
            <w:tcW w:type="dxa" w:w="7480"/>
            <w:tcMar>
              <w:top w:type="dxa" w:w="70"/>
              <w:left w:type="dxa" w:w="110"/>
              <w:bottom w:type="dxa" w:w="70"/>
              <w:right w:type="dxa" w:w="110"/>
            </w:tcMar>
          </w:tcPr>
          <w:p>
            <w:pPr>
              <w:spacing w:after="0"/>
            </w:pPr>
            <w:r>
              <w:rPr>
                <w:rFonts w:ascii="Arial" w:cs="Arial" w:eastAsia="Arial" w:hAnsi="Arial"/>
                <w:b/>
                <w:bCs/>
                <w:sz w:val="18"/>
                <w:szCs w:val="18"/>
              </w:rPr>
              <w:t xml:space="preserve">Principal AI Architect</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Review</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Each model release</w:t>
            </w:r>
          </w:p>
        </w:tc>
      </w:tr>
    </w:tbl>
    <w:p>
      <w:pPr>
        <w:pStyle w:val="Heading2"/>
        <w:keepNext/>
        <w:spacing w:after="110" w:before="280"/>
      </w:pPr>
      <w:r>
        <w:rPr>
          <w:rFonts w:ascii="Arial" w:cs="Arial" w:eastAsia="Arial" w:hAnsi="Arial"/>
          <w:b/>
          <w:bCs/>
          <w:color w:val="C00000"/>
          <w:sz w:val="21"/>
          <w:szCs w:val="21"/>
        </w:rPr>
        <w:t xml:space="preserve">R-DEID-03 — NER false negatives leaving identifiers unmasked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Residual Rating</w:t>
            </w:r>
          </w:p>
        </w:tc>
        <w:tc>
          <w:tcPr>
            <w:tcW w:type="dxa" w:w="7480"/>
            <w:tcMar>
              <w:top w:type="dxa" w:w="70"/>
              <w:left w:type="dxa" w:w="110"/>
              <w:bottom w:type="dxa" w:w="70"/>
              <w:right w:type="dxa" w:w="110"/>
            </w:tcMar>
          </w:tcPr>
          <w:p>
            <w:pPr>
              <w:spacing w:after="0"/>
            </w:pPr>
            <w:r>
              <w:rPr>
                <w:rFonts w:ascii="Arial" w:cs="Arial" w:eastAsia="Arial" w:hAnsi="Arial"/>
                <w:b/>
                <w:bCs/>
                <w:color w:val="C00000"/>
                <w:sz w:val="18"/>
                <w:szCs w:val="18"/>
              </w:rPr>
              <w:t xml:space="preserve">MEDIUM</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Description</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At 99.5% entity-level recall across a corpus of millions of records, unmasked direct identifiers will reach the vendor in absolute numbers even while the rate looks excellent. Recall is worst precisely where it matters most: rare surnames, non-Latin names, unusual facility identifiers, and identifiers appearing in unexpected syntactic positions. The inverse error also carries cost — a rare surname misread as a clinical term is removed from the corpus, quietly degrading the record.</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Risk-Reducing Measures</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Adversarial gold-standard evaluation set enriched for known weak cases; two-assessor manual audit of a stratified 500-record sample per freeze with zero tolerance for a direct-identifier miss; full-corpus re-run on any single confirmed miss rather than a tolerance band.</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Accepting Owner</w:t>
            </w:r>
          </w:p>
        </w:tc>
        <w:tc>
          <w:tcPr>
            <w:tcW w:type="dxa" w:w="7480"/>
            <w:tcMar>
              <w:top w:type="dxa" w:w="70"/>
              <w:left w:type="dxa" w:w="110"/>
              <w:bottom w:type="dxa" w:w="70"/>
              <w:right w:type="dxa" w:w="110"/>
            </w:tcMar>
          </w:tcPr>
          <w:p>
            <w:pPr>
              <w:spacing w:after="0"/>
            </w:pPr>
            <w:r>
              <w:rPr>
                <w:rFonts w:ascii="Arial" w:cs="Arial" w:eastAsia="Arial" w:hAnsi="Arial"/>
                <w:b/>
                <w:bCs/>
                <w:sz w:val="18"/>
                <w:szCs w:val="18"/>
              </w:rPr>
              <w:t xml:space="preserve">Principal AI Architect</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Review</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Each corpus freeze</w:t>
            </w:r>
          </w:p>
        </w:tc>
      </w:tr>
    </w:tbl>
    <w:p>
      <w:pPr>
        <w:pStyle w:val="Heading2"/>
        <w:keepNext/>
        <w:spacing w:after="110" w:before="280"/>
      </w:pPr>
      <w:r>
        <w:rPr>
          <w:rFonts w:ascii="Arial" w:cs="Arial" w:eastAsia="Arial" w:hAnsi="Arial"/>
          <w:b/>
          <w:bCs/>
          <w:color w:val="C00000"/>
          <w:sz w:val="21"/>
          <w:szCs w:val="21"/>
        </w:rPr>
        <w:t xml:space="preserve">R-DEID-04 — Corpus remains personal data in the vendor's hands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Residual Rating</w:t>
            </w:r>
          </w:p>
        </w:tc>
        <w:tc>
          <w:tcPr>
            <w:tcW w:type="dxa" w:w="7480"/>
            <w:tcMar>
              <w:top w:type="dxa" w:w="70"/>
              <w:left w:type="dxa" w:w="110"/>
              <w:bottom w:type="dxa" w:w="70"/>
              <w:right w:type="dxa" w:w="110"/>
            </w:tcMar>
          </w:tcPr>
          <w:p>
            <w:pPr>
              <w:spacing w:after="0"/>
            </w:pPr>
            <w:r>
              <w:rPr>
                <w:rFonts w:ascii="Arial" w:cs="Arial" w:eastAsia="Arial" w:hAnsi="Arial"/>
                <w:b/>
                <w:bCs/>
                <w:color w:val="C00000"/>
                <w:sz w:val="18"/>
                <w:szCs w:val="18"/>
              </w:rPr>
              <w:t xml:space="preserve">MEDIUM</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Description</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No control in this matrix makes the corpus anonymous. It leaves the trust boundary as pseudonymised personal data, at which point technical control ends and contractual control begins. Meridian cannot observe what happens to it, and remains the controller accountable for it.</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Risk-Reducing Measures</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Article 28 processing agreement with sub-processor authorisation, audit rights and certified deletion; Chapter V instrument per DPIA GAP-06; export gated on a masking verification report; corpus held for the contract term plus 30 days only.</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Accepting Owner</w:t>
            </w:r>
          </w:p>
        </w:tc>
        <w:tc>
          <w:tcPr>
            <w:tcW w:type="dxa" w:w="7480"/>
            <w:tcMar>
              <w:top w:type="dxa" w:w="70"/>
              <w:left w:type="dxa" w:w="110"/>
              <w:bottom w:type="dxa" w:w="70"/>
              <w:right w:type="dxa" w:w="110"/>
            </w:tcMar>
          </w:tcPr>
          <w:p>
            <w:pPr>
              <w:spacing w:after="0"/>
            </w:pPr>
            <w:r>
              <w:rPr>
                <w:rFonts w:ascii="Arial" w:cs="Arial" w:eastAsia="Arial" w:hAnsi="Arial"/>
                <w:b/>
                <w:bCs/>
                <w:sz w:val="18"/>
                <w:szCs w:val="18"/>
              </w:rPr>
              <w:t xml:space="preserve">Lead Data Privacy Officer</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Review</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Semi-annually</w:t>
            </w:r>
          </w:p>
        </w:tc>
      </w:tr>
    </w:tbl>
    <w:p>
      <w:pPr>
        <w:pStyle w:val="Heading2"/>
        <w:keepNext/>
        <w:spacing w:after="110" w:before="280"/>
      </w:pPr>
      <w:r>
        <w:rPr>
          <w:rFonts w:ascii="Arial" w:cs="Arial" w:eastAsia="Arial" w:hAnsi="Arial"/>
          <w:b/>
          <w:bCs/>
          <w:color w:val="C00000"/>
          <w:sz w:val="21"/>
          <w:szCs w:val="21"/>
        </w:rPr>
        <w:t xml:space="preserve">R-DEID-05 — Epsilon budget exhaustion across successive retrains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Residual Rating</w:t>
            </w:r>
          </w:p>
        </w:tc>
        <w:tc>
          <w:tcPr>
            <w:tcW w:type="dxa" w:w="7480"/>
            <w:tcMar>
              <w:top w:type="dxa" w:w="70"/>
              <w:left w:type="dxa" w:w="110"/>
              <w:bottom w:type="dxa" w:w="70"/>
              <w:right w:type="dxa" w:w="110"/>
            </w:tcMar>
          </w:tcPr>
          <w:p>
            <w:pPr>
              <w:spacing w:after="0"/>
            </w:pPr>
            <w:r>
              <w:rPr>
                <w:rFonts w:ascii="Arial" w:cs="Arial" w:eastAsia="Arial" w:hAnsi="Arial"/>
                <w:b/>
                <w:bCs/>
                <w:color w:val="C00000"/>
                <w:sz w:val="18"/>
                <w:szCs w:val="18"/>
              </w:rPr>
              <w:t xml:space="preserve">LOW to MEDIUM</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Description</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Each retrain consumes privacy budget. The CVE-2025-XXXX remediation requires a full retrain on clean data, which consumes budget outside the planned schedule. Without cumulative accounting, successive retrains erode the guarantee until DP-SGD is present in the configuration but meaningless in effect — the failure mode is silent, because nothing breaks.</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Risk-Reducing Measures</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Documented epsilon-delta ceiling with cumulative accounting across all training runs including unscheduled remediation retrains; governance approval required to exceed; budget consumption reported alongside model performance at each release.</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Accepting Owner</w:t>
            </w:r>
          </w:p>
        </w:tc>
        <w:tc>
          <w:tcPr>
            <w:tcW w:type="dxa" w:w="7480"/>
            <w:tcMar>
              <w:top w:type="dxa" w:w="70"/>
              <w:left w:type="dxa" w:w="110"/>
              <w:bottom w:type="dxa" w:w="70"/>
              <w:right w:type="dxa" w:w="110"/>
            </w:tcMar>
          </w:tcPr>
          <w:p>
            <w:pPr>
              <w:spacing w:after="0"/>
            </w:pPr>
            <w:r>
              <w:rPr>
                <w:rFonts w:ascii="Arial" w:cs="Arial" w:eastAsia="Arial" w:hAnsi="Arial"/>
                <w:b/>
                <w:bCs/>
                <w:sz w:val="18"/>
                <w:szCs w:val="18"/>
              </w:rPr>
              <w:t xml:space="preserve">Principal AI Architect</w:t>
            </w:r>
          </w:p>
        </w:tc>
      </w:tr>
      <w:tr>
        <w:tc>
          <w:tcPr>
            <w:tcW w:type="dxa" w:w="2600"/>
            <w:shd w:fill="D9E2F3" w:color="auto" w:val="clear"/>
            <w:tcMar>
              <w:top w:type="dxa" w:w="70"/>
              <w:left w:type="dxa" w:w="110"/>
              <w:bottom w:type="dxa" w:w="70"/>
              <w:right w:type="dxa" w:w="110"/>
            </w:tcMar>
          </w:tcPr>
          <w:p>
            <w:pPr>
              <w:spacing w:after="0"/>
            </w:pPr>
            <w:r>
              <w:rPr>
                <w:rFonts w:ascii="Arial" w:cs="Arial" w:eastAsia="Arial" w:hAnsi="Arial"/>
                <w:b/>
                <w:bCs/>
                <w:color w:val="1F3864"/>
                <w:sz w:val="18"/>
                <w:szCs w:val="18"/>
              </w:rPr>
              <w:t xml:space="preserve">Review</w:t>
            </w:r>
          </w:p>
        </w:tc>
        <w:tc>
          <w:tcPr>
            <w:tcW w:type="dxa" w:w="7480"/>
            <w:tcMar>
              <w:top w:type="dxa" w:w="70"/>
              <w:left w:type="dxa" w:w="110"/>
              <w:bottom w:type="dxa" w:w="70"/>
              <w:right w:type="dxa" w:w="110"/>
            </w:tcMar>
          </w:tcPr>
          <w:p>
            <w:pPr>
              <w:spacing w:after="0"/>
            </w:pPr>
            <w:r>
              <w:rPr>
                <w:rFonts w:ascii="Arial" w:cs="Arial" w:eastAsia="Arial" w:hAnsi="Arial"/>
                <w:sz w:val="18"/>
                <w:szCs w:val="18"/>
              </w:rPr>
              <w:t xml:space="preserve">Each training run</w:t>
            </w:r>
          </w:p>
        </w:tc>
      </w:tr>
    </w:tbl>
    <w:p>
      <w:pPr>
        <w:pStyle w:val="Heading1"/>
        <w:keepNext/>
        <w:spacing w:after="160" w:before="320"/>
      </w:pPr>
      <w:r>
        <w:rPr>
          <w:rFonts w:ascii="Arial" w:cs="Arial" w:eastAsia="Arial" w:hAnsi="Arial"/>
          <w:b/>
          <w:bCs/>
          <w:color w:val="1F3864"/>
          <w:sz w:val="26"/>
          <w:szCs w:val="26"/>
        </w:rPr>
        <w:t xml:space="preserve">Section 4 — Transfer to the Compliance Package</w:t>
      </w:r>
    </w:p>
    <w:p>
      <w:pPr>
        <w:spacing w:after="110" w:before="0"/>
      </w:pPr>
      <w:r>
        <w:rPr>
          <w:rFonts w:ascii="Arial" w:cs="Arial" w:eastAsia="Arial" w:hAnsi="Arial"/>
          <w:sz w:val="20"/>
          <w:szCs w:val="20"/>
        </w:rPr>
        <w:t xml:space="preserve">The findings above map into the compliance package as follows. This cross-referencing is what makes the technical evaluation auditable rather than decorative.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80"/>
      </w:tblGrid>
      <w:tr>
        <w:trPr>
          <w:tblHeader/>
        </w:trPr>
        <w:tc>
          <w:tcPr>
            <w:tcW w:type="dxa" w:w="22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Output</w:t>
            </w:r>
          </w:p>
        </w:tc>
        <w:tc>
          <w:tcPr>
            <w:tcW w:type="dxa" w:w="320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Destination</w:t>
            </w:r>
          </w:p>
        </w:tc>
        <w:tc>
          <w:tcPr>
            <w:tcW w:type="dxa" w:w="4680"/>
            <w:shd w:fill="2E5496" w:color="auto" w:val="clear"/>
            <w:tcMar>
              <w:top w:type="dxa" w:w="70"/>
              <w:left w:type="dxa" w:w="110"/>
              <w:bottom w:type="dxa" w:w="70"/>
              <w:right w:type="dxa" w:w="110"/>
            </w:tcMar>
          </w:tcPr>
          <w:p>
            <w:pPr>
              <w:spacing w:after="0"/>
              <w:jc w:val="center"/>
            </w:pPr>
            <w:r>
              <w:rPr>
                <w:rFonts w:ascii="Arial" w:cs="Arial" w:eastAsia="Arial" w:hAnsi="Arial"/>
                <w:b/>
                <w:bCs/>
                <w:color w:val="FFFFFF"/>
                <w:sz w:val="16"/>
                <w:szCs w:val="16"/>
              </w:rPr>
              <w:t xml:space="preserve">Requirement</w:t>
            </w:r>
          </w:p>
        </w:tc>
      </w:tr>
      <w:tr>
        <w:tc>
          <w:tcPr>
            <w:tcW w:type="dxa" w:w="2200"/>
            <w:tcMar>
              <w:top w:type="dxa" w:w="70"/>
              <w:left w:type="dxa" w:w="110"/>
              <w:bottom w:type="dxa" w:w="70"/>
              <w:right w:type="dxa" w:w="110"/>
            </w:tcMar>
          </w:tcPr>
          <w:p>
            <w:pPr>
              <w:spacing w:after="0"/>
            </w:pPr>
            <w:r>
              <w:rPr>
                <w:rFonts w:ascii="Arial" w:cs="Arial" w:eastAsia="Arial" w:hAnsi="Arial"/>
                <w:sz w:val="16"/>
                <w:szCs w:val="16"/>
              </w:rPr>
              <w:t xml:space="preserve">Recommendation and justification (Section 1)</w:t>
            </w:r>
          </w:p>
        </w:tc>
        <w:tc>
          <w:tcPr>
            <w:tcW w:type="dxa" w:w="3200"/>
            <w:tcMar>
              <w:top w:type="dxa" w:w="70"/>
              <w:left w:type="dxa" w:w="110"/>
              <w:bottom w:type="dxa" w:w="70"/>
              <w:right w:type="dxa" w:w="110"/>
            </w:tcMar>
          </w:tcPr>
          <w:p>
            <w:pPr>
              <w:spacing w:after="0"/>
            </w:pPr>
            <w:r>
              <w:rPr>
                <w:rFonts w:ascii="Arial" w:cs="Arial" w:eastAsia="Arial" w:hAnsi="Arial"/>
                <w:sz w:val="16"/>
                <w:szCs w:val="16"/>
              </w:rPr>
              <w:t xml:space="preserve">Compliance Package Report, Section 2.3 — GDPR Compliance</w:t>
            </w:r>
          </w:p>
        </w:tc>
        <w:tc>
          <w:tcPr>
            <w:tcW w:type="dxa" w:w="4680"/>
            <w:tcMar>
              <w:top w:type="dxa" w:w="70"/>
              <w:left w:type="dxa" w:w="110"/>
              <w:bottom w:type="dxa" w:w="70"/>
              <w:right w:type="dxa" w:w="110"/>
            </w:tcMar>
          </w:tcPr>
          <w:p>
            <w:pPr>
              <w:spacing w:after="0"/>
            </w:pPr>
            <w:r>
              <w:rPr>
                <w:rFonts w:ascii="Arial" w:cs="Arial" w:eastAsia="Arial" w:hAnsi="Arial"/>
                <w:sz w:val="16"/>
                <w:szCs w:val="16"/>
              </w:rPr>
              <w:t xml:space="preserve">Stated as a verdict with the two-control rationale, and with the correction at 1.2 disclosed rather than silently applied.</w:t>
            </w:r>
          </w:p>
        </w:tc>
      </w:tr>
      <w:tr>
        <w:tc>
          <w:tcPr>
            <w:tcW w:type="dxa" w:w="2200"/>
            <w:tcMar>
              <w:top w:type="dxa" w:w="70"/>
              <w:left w:type="dxa" w:w="110"/>
              <w:bottom w:type="dxa" w:w="70"/>
              <w:right w:type="dxa" w:w="110"/>
            </w:tcMar>
          </w:tcPr>
          <w:p>
            <w:pPr>
              <w:spacing w:after="0"/>
            </w:pPr>
            <w:r>
              <w:rPr>
                <w:rFonts w:ascii="Arial" w:cs="Arial" w:eastAsia="Arial" w:hAnsi="Arial"/>
                <w:sz w:val="16"/>
                <w:szCs w:val="16"/>
              </w:rPr>
              <w:t xml:space="preserve">Residual risks R-DEID-01 to R-DEID-05</w:t>
            </w:r>
          </w:p>
        </w:tc>
        <w:tc>
          <w:tcPr>
            <w:tcW w:type="dxa" w:w="3200"/>
            <w:tcMar>
              <w:top w:type="dxa" w:w="70"/>
              <w:left w:type="dxa" w:w="110"/>
              <w:bottom w:type="dxa" w:w="70"/>
              <w:right w:type="dxa" w:w="110"/>
            </w:tcMar>
          </w:tcPr>
          <w:p>
            <w:pPr>
              <w:spacing w:after="0"/>
            </w:pPr>
            <w:r>
              <w:rPr>
                <w:rFonts w:ascii="Arial" w:cs="Arial" w:eastAsia="Arial" w:hAnsi="Arial"/>
                <w:sz w:val="16"/>
                <w:szCs w:val="16"/>
              </w:rPr>
              <w:t xml:space="preserve">Compliance Package Report, Section 5 — Risk Disposition</w:t>
            </w:r>
          </w:p>
        </w:tc>
        <w:tc>
          <w:tcPr>
            <w:tcW w:type="dxa" w:w="4680"/>
            <w:tcMar>
              <w:top w:type="dxa" w:w="70"/>
              <w:left w:type="dxa" w:w="110"/>
              <w:bottom w:type="dxa" w:w="70"/>
              <w:right w:type="dxa" w:w="110"/>
            </w:tcMar>
          </w:tcPr>
          <w:p>
            <w:pPr>
              <w:spacing w:after="0"/>
            </w:pPr>
            <w:r>
              <w:rPr>
                <w:rFonts w:ascii="Arial" w:cs="Arial" w:eastAsia="Arial" w:hAnsi="Arial"/>
                <w:sz w:val="16"/>
                <w:szCs w:val="16"/>
              </w:rPr>
              <w:t xml:space="preserve">Each carried as a discrete tracked line item with the accepting owner and review point named here. A residual risk stated in this matrix and absent from the risk disposition is an orphan finding, and is the specific cross-referencing failure this document exists to prevent.</w:t>
            </w:r>
          </w:p>
        </w:tc>
      </w:tr>
      <w:tr>
        <w:tc>
          <w:tcPr>
            <w:tcW w:type="dxa" w:w="2200"/>
            <w:tcMar>
              <w:top w:type="dxa" w:w="70"/>
              <w:left w:type="dxa" w:w="110"/>
              <w:bottom w:type="dxa" w:w="70"/>
              <w:right w:type="dxa" w:w="110"/>
            </w:tcMar>
          </w:tcPr>
          <w:p>
            <w:pPr>
              <w:spacing w:after="0"/>
            </w:pPr>
            <w:r>
              <w:rPr>
                <w:rFonts w:ascii="Arial" w:cs="Arial" w:eastAsia="Arial" w:hAnsi="Arial"/>
                <w:sz w:val="16"/>
                <w:szCs w:val="16"/>
              </w:rPr>
              <w:t xml:space="preserve">NER masking control</w:t>
            </w:r>
          </w:p>
        </w:tc>
        <w:tc>
          <w:tcPr>
            <w:tcW w:type="dxa" w:w="3200"/>
            <w:tcMar>
              <w:top w:type="dxa" w:w="70"/>
              <w:left w:type="dxa" w:w="110"/>
              <w:bottom w:type="dxa" w:w="70"/>
              <w:right w:type="dxa" w:w="110"/>
            </w:tcMar>
          </w:tcPr>
          <w:p>
            <w:pPr>
              <w:spacing w:after="0"/>
            </w:pPr>
            <w:r>
              <w:rPr>
                <w:rFonts w:ascii="Arial" w:cs="Arial" w:eastAsia="Arial" w:hAnsi="Arial"/>
                <w:sz w:val="16"/>
                <w:szCs w:val="16"/>
              </w:rPr>
              <w:t xml:space="preserve">DPIA Mitigation Plan GAP-02; RoPA records P-03, P-06, P-10</w:t>
            </w:r>
          </w:p>
        </w:tc>
        <w:tc>
          <w:tcPr>
            <w:tcW w:type="dxa" w:w="4680"/>
            <w:tcMar>
              <w:top w:type="dxa" w:w="70"/>
              <w:left w:type="dxa" w:w="110"/>
              <w:bottom w:type="dxa" w:w="70"/>
              <w:right w:type="dxa" w:w="110"/>
            </w:tcMar>
          </w:tcPr>
          <w:p>
            <w:pPr>
              <w:spacing w:after="0"/>
            </w:pPr>
            <w:r>
              <w:rPr>
                <w:rFonts w:ascii="Arial" w:cs="Arial" w:eastAsia="Arial" w:hAnsi="Arial"/>
                <w:sz w:val="16"/>
                <w:szCs w:val="16"/>
              </w:rPr>
              <w:t xml:space="preserve">Named as the export-facing control, with the effectiveness criteria in GAP-02 as its measurement.</w:t>
            </w:r>
          </w:p>
        </w:tc>
      </w:tr>
      <w:tr>
        <w:tc>
          <w:tcPr>
            <w:tcW w:type="dxa" w:w="2200"/>
            <w:tcMar>
              <w:top w:type="dxa" w:w="70"/>
              <w:left w:type="dxa" w:w="110"/>
              <w:bottom w:type="dxa" w:w="70"/>
              <w:right w:type="dxa" w:w="110"/>
            </w:tcMar>
          </w:tcPr>
          <w:p>
            <w:pPr>
              <w:spacing w:after="0"/>
            </w:pPr>
            <w:r>
              <w:rPr>
                <w:rFonts w:ascii="Arial" w:cs="Arial" w:eastAsia="Arial" w:hAnsi="Arial"/>
                <w:sz w:val="16"/>
                <w:szCs w:val="16"/>
              </w:rPr>
              <w:t xml:space="preserve">DP-SGD control</w:t>
            </w:r>
          </w:p>
        </w:tc>
        <w:tc>
          <w:tcPr>
            <w:tcW w:type="dxa" w:w="3200"/>
            <w:tcMar>
              <w:top w:type="dxa" w:w="70"/>
              <w:left w:type="dxa" w:w="110"/>
              <w:bottom w:type="dxa" w:w="70"/>
              <w:right w:type="dxa" w:w="110"/>
            </w:tcMar>
          </w:tcPr>
          <w:p>
            <w:pPr>
              <w:spacing w:after="0"/>
            </w:pPr>
            <w:r>
              <w:rPr>
                <w:rFonts w:ascii="Arial" w:cs="Arial" w:eastAsia="Arial" w:hAnsi="Arial"/>
                <w:sz w:val="16"/>
                <w:szCs w:val="16"/>
              </w:rPr>
              <w:t xml:space="preserve">Defence-in-Depth checklist C3.3 (currently Non-Compliant)</w:t>
            </w:r>
          </w:p>
        </w:tc>
        <w:tc>
          <w:tcPr>
            <w:tcW w:type="dxa" w:w="4680"/>
            <w:tcMar>
              <w:top w:type="dxa" w:w="70"/>
              <w:left w:type="dxa" w:w="110"/>
              <w:bottom w:type="dxa" w:w="70"/>
              <w:right w:type="dxa" w:w="110"/>
            </w:tcMar>
          </w:tcPr>
          <w:p>
            <w:pPr>
              <w:spacing w:after="0"/>
            </w:pPr>
            <w:r>
              <w:rPr>
                <w:rFonts w:ascii="Arial" w:cs="Arial" w:eastAsia="Arial" w:hAnsi="Arial"/>
                <w:sz w:val="16"/>
                <w:szCs w:val="16"/>
              </w:rPr>
              <w:t xml:space="preserve">The model-facing control. Its absence from the current retraining configuration is a live security gap, not only a privacy one.</w:t>
            </w:r>
          </w:p>
        </w:tc>
      </w:tr>
      <w:tr>
        <w:tc>
          <w:tcPr>
            <w:tcW w:type="dxa" w:w="2200"/>
            <w:tcMar>
              <w:top w:type="dxa" w:w="70"/>
              <w:left w:type="dxa" w:w="110"/>
              <w:bottom w:type="dxa" w:w="70"/>
              <w:right w:type="dxa" w:w="110"/>
            </w:tcMar>
          </w:tcPr>
          <w:p>
            <w:pPr>
              <w:spacing w:after="0"/>
            </w:pPr>
            <w:r>
              <w:rPr>
                <w:rFonts w:ascii="Arial" w:cs="Arial" w:eastAsia="Arial" w:hAnsi="Arial"/>
                <w:sz w:val="16"/>
                <w:szCs w:val="16"/>
              </w:rPr>
              <w:t xml:space="preserve">Anonymisation limitation (Section 1.4)</w:t>
            </w:r>
          </w:p>
        </w:tc>
        <w:tc>
          <w:tcPr>
            <w:tcW w:type="dxa" w:w="3200"/>
            <w:tcMar>
              <w:top w:type="dxa" w:w="70"/>
              <w:left w:type="dxa" w:w="110"/>
              <w:bottom w:type="dxa" w:w="70"/>
              <w:right w:type="dxa" w:w="110"/>
            </w:tcMar>
          </w:tcPr>
          <w:p>
            <w:pPr>
              <w:spacing w:after="0"/>
            </w:pPr>
            <w:r>
              <w:rPr>
                <w:rFonts w:ascii="Arial" w:cs="Arial" w:eastAsia="Arial" w:hAnsi="Arial"/>
                <w:sz w:val="16"/>
                <w:szCs w:val="16"/>
              </w:rPr>
              <w:t xml:space="preserve">Compliance Package Report, Sections 2.1 and 2.3</w:t>
            </w:r>
          </w:p>
        </w:tc>
        <w:tc>
          <w:tcPr>
            <w:tcW w:type="dxa" w:w="4680"/>
            <w:tcMar>
              <w:top w:type="dxa" w:w="70"/>
              <w:left w:type="dxa" w:w="110"/>
              <w:bottom w:type="dxa" w:w="70"/>
              <w:right w:type="dxa" w:w="110"/>
            </w:tcMar>
          </w:tcPr>
          <w:p>
            <w:pPr>
              <w:spacing w:after="0"/>
            </w:pPr>
            <w:r>
              <w:rPr>
                <w:rFonts w:ascii="Arial" w:cs="Arial" w:eastAsia="Arial" w:hAnsi="Arial"/>
                <w:sz w:val="16"/>
                <w:szCs w:val="16"/>
              </w:rPr>
              <w:t xml:space="preserve">The corpus remains personal data. Any statement in the package that de-identification renders the export anonymous, or that it satisfies the EDPB anonymisation tests, is inconsistent with this evaluation and must not appear.</w:t>
            </w:r>
          </w:p>
        </w:tc>
      </w:tr>
    </w:tbl>
    <w:p>
      <w:pPr>
        <w:spacing w:after="200" w:before="0"/>
      </w:pPr>
      <w:r>
        <w:rPr>
          <w:rFonts w:ascii="Arial" w:cs="Arial" w:eastAsia="Arial" w:hAnsi="Arial"/>
          <w:sz w:val="20"/>
          <w:szCs w:val="20"/>
        </w:rPr>
        <w:t xml:space="preserve"/>
      </w:r>
    </w:p>
    <w:p>
      <w:pPr>
        <w:spacing w:after="110" w:before="0"/>
      </w:pPr>
      <w:r>
        <w:rPr>
          <w:rFonts w:ascii="Arial" w:cs="Arial" w:eastAsia="Arial" w:hAnsi="Arial"/>
          <w:i/>
          <w:iCs/>
          <w:color w:val="595959"/>
          <w:sz w:val="17"/>
          <w:szCs w:val="17"/>
        </w:rPr>
        <w:t xml:space="preserve">Prepared by the AI Governance Lead, Meridian Health Partners Ltd., 3 July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5"/>
        <w:szCs w:val="15"/>
      </w:rPr>
      <w:t xml:space="preserve">MHP-DEID-MATRIX-2026 — De-Identification Comparison Matrix — Internal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De-Identification Comparison Matrix — Insurance Claims Triage AI</dc:title>
  <dc:creator>AI Governance Lead, Meridian Health Partners</dc:creator>
  <cp:lastModifiedBy>Un-named</cp:lastModifiedBy>
  <cp:revision>1</cp:revision>
  <dcterms:created xsi:type="dcterms:W3CDTF">2026-08-26T04:12:05.656Z</dcterms:created>
  <dcterms:modified xsi:type="dcterms:W3CDTF">2026-08-26T04:12:05.656Z</dcterms:modified>
</cp:coreProperties>
</file>

<file path=docProps/custom.xml><?xml version="1.0" encoding="utf-8"?>
<Properties xmlns="http://schemas.openxmlformats.org/officeDocument/2006/custom-properties" xmlns:vt="http://schemas.openxmlformats.org/officeDocument/2006/docPropsVTypes"/>
</file>