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365d"/>
          <w:sz w:val="36"/>
          <w:szCs w:val="36"/>
          <w:rtl w:val="0"/>
        </w:rPr>
        <w:t xml:space="preserve">TRANSFORMER ARCHITECTURE ATTACK SURFACE REPORT</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i w:val="1"/>
          <w:iCs w:val="1"/>
          <w:color w:val="666666"/>
          <w:rtl w:val="0"/>
        </w:rPr>
        <w:t xml:space="preserve">Security Posture Annotation &amp; Mapping for Insurance Claims Triage AI</w:t>
      </w:r>
      <w:r w:rsidDel="00000000" w:rsidR="00000000" w:rsidRPr="00000000">
        <w:rPr>
          <w:rtl w:val="0"/>
        </w:rPr>
      </w:r>
    </w:p>
    <w:tbl>
      <w:tblPr>
        <w:tblStyle w:val="Table1"/>
        <w:tblW w:w="9360.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3">
            <w:pPr>
              <w:spacing w:after="0" w:lineRule="auto"/>
              <w:rPr/>
            </w:pPr>
            <w:r w:rsidDel="00000000" w:rsidR="00000000" w:rsidRPr="00000000">
              <w:rPr>
                <w:b w:val="1"/>
                <w:bCs w:val="1"/>
                <w:sz w:val="19"/>
                <w:szCs w:val="19"/>
                <w:rtl w:val="0"/>
              </w:rPr>
              <w:t xml:space="preserve">Deployment System:</w:t>
            </w:r>
            <w:r w:rsidDel="00000000" w:rsidR="00000000" w:rsidRPr="00000000">
              <w:rPr>
                <w:sz w:val="19"/>
                <w:szCs w:val="19"/>
                <w:rtl w:val="0"/>
              </w:rPr>
              <w:t xml:space="preserve"> Insurance Claims Triage AI</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4">
            <w:pPr>
              <w:spacing w:after="0" w:lineRule="auto"/>
              <w:rPr/>
            </w:pPr>
            <w:r w:rsidDel="00000000" w:rsidR="00000000" w:rsidRPr="00000000">
              <w:rPr>
                <w:b w:val="1"/>
                <w:bCs w:val="1"/>
                <w:sz w:val="19"/>
                <w:szCs w:val="19"/>
                <w:rtl w:val="0"/>
              </w:rPr>
              <w:t xml:space="preserve">Document Reference:</w:t>
            </w:r>
            <w:r w:rsidDel="00000000" w:rsidR="00000000" w:rsidRPr="00000000">
              <w:rPr>
                <w:sz w:val="19"/>
                <w:szCs w:val="19"/>
                <w:rtl w:val="0"/>
              </w:rPr>
              <w:t xml:space="preserve"> MHP-TRANSFORMER-SEC-2026</w:t>
            </w:r>
            <w:r w:rsidDel="00000000" w:rsidR="00000000" w:rsidRPr="00000000">
              <w:rPr>
                <w:rtl w:val="0"/>
              </w:rPr>
            </w:r>
          </w:p>
        </w:tc>
      </w:tr>
      <w:tr>
        <w:trPr>
          <w:cantSplit w:val="0"/>
          <w:tblHeader w:val="0"/>
        </w:trPr>
        <w:tc>
          <w:tcPr>
            <w:shd w:fill="f9fafb" w:val="clear"/>
            <w:tcMar>
              <w:top w:w="100.0" w:type="dxa"/>
              <w:left w:w="120.0" w:type="dxa"/>
              <w:bottom w:w="100.0" w:type="dxa"/>
              <w:right w:w="120.0" w:type="dxa"/>
            </w:tcMar>
          </w:tcPr>
          <w:p w:rsidR="00000000" w:rsidDel="00000000" w:rsidP="00000000" w:rsidRDefault="00000000" w:rsidRPr="00000000" w14:paraId="00000005">
            <w:pPr>
              <w:spacing w:after="0" w:lineRule="auto"/>
              <w:rPr/>
            </w:pPr>
            <w:r w:rsidDel="00000000" w:rsidR="00000000" w:rsidRPr="00000000">
              <w:rPr>
                <w:b w:val="1"/>
                <w:bCs w:val="1"/>
                <w:sz w:val="19"/>
                <w:szCs w:val="19"/>
                <w:rtl w:val="0"/>
              </w:rPr>
              <w:t xml:space="preserve">Completed By:</w:t>
            </w:r>
            <w:r w:rsidDel="00000000" w:rsidR="00000000" w:rsidRPr="00000000">
              <w:rPr>
                <w:sz w:val="19"/>
                <w:szCs w:val="19"/>
                <w:rtl w:val="0"/>
              </w:rPr>
              <w:t xml:space="preserve"> AI Governance Lead</w:t>
            </w:r>
            <w:r w:rsidDel="00000000" w:rsidR="00000000" w:rsidRPr="00000000">
              <w:rPr>
                <w:rtl w:val="0"/>
              </w:rPr>
            </w:r>
          </w:p>
        </w:tc>
        <w:tc>
          <w:tcPr>
            <w:shd w:fill="f9fafb"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1"/>
                <w:bCs w:val="1"/>
                <w:sz w:val="19"/>
                <w:szCs w:val="19"/>
                <w:rtl w:val="0"/>
              </w:rPr>
              <w:t xml:space="preserve">Audit Readiness Status:</w:t>
            </w:r>
            <w:r w:rsidDel="00000000" w:rsidR="00000000" w:rsidRPr="00000000">
              <w:rPr>
                <w:sz w:val="19"/>
                <w:szCs w:val="19"/>
                <w:rtl w:val="0"/>
              </w:rPr>
              <w:t xml:space="preserve"> Complete / Verified</w:t>
            </w:r>
            <w:r w:rsidDel="00000000" w:rsidR="00000000" w:rsidRPr="00000000">
              <w:rPr>
                <w:rtl w:val="0"/>
              </w:rPr>
            </w:r>
          </w:p>
        </w:tc>
      </w:tr>
    </w:tbl>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keepNext w:val="1"/>
        <w:spacing w:before="360" w:lineRule="auto"/>
        <w:rPr/>
      </w:pPr>
      <w:r w:rsidDel="00000000" w:rsidR="00000000" w:rsidRPr="00000000">
        <w:rPr>
          <w:b w:val="1"/>
          <w:bCs w:val="1"/>
          <w:color w:val="1b365d"/>
          <w:sz w:val="28"/>
          <w:szCs w:val="28"/>
          <w:rtl w:val="0"/>
        </w:rPr>
        <w:t xml:space="preserve">SECTION 1 | OVERVIEW &amp; ARCHITECTURAL SCOPE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secure the Insurance Claims Triage AI deployment at Meridian Health Partners against advanced adversarial exploitation, the AI Governance and Security Operations teams have executed a comprehensive attack surface mapping of the underlying Transformer core. Rather than treating the deployment as an unresolvable black box, this report annotates the precise data flow across the model's structural sub-layers. This mapping identifies and details the three primary, meaningfully distinct attack surfaces: the model API endpoint, the training data pipeline, and the inference output layer. It links these components directly to our secure operations strategy.</w:t>
      </w:r>
    </w:p>
    <w:p w:rsidR="00000000" w:rsidDel="00000000" w:rsidP="00000000" w:rsidRDefault="00000000" w:rsidRPr="00000000" w14:paraId="0000000A">
      <w:pPr>
        <w:keepNext w:val="1"/>
        <w:spacing w:before="360" w:lineRule="auto"/>
        <w:rPr/>
      </w:pPr>
      <w:r w:rsidDel="00000000" w:rsidR="00000000" w:rsidRPr="00000000">
        <w:rPr>
          <w:b w:val="1"/>
          <w:bCs w:val="1"/>
          <w:color w:val="1b365d"/>
          <w:sz w:val="28"/>
          <w:szCs w:val="28"/>
          <w:rtl w:val="0"/>
        </w:rPr>
        <w:t xml:space="preserve">SECTION 2 | ANNOTATED DATA-FLOW STAGES</w:t>
      </w:r>
      <w:r w:rsidDel="00000000" w:rsidR="00000000" w:rsidRPr="00000000">
        <w:rPr>
          <w:rtl w:val="0"/>
        </w:rPr>
      </w:r>
    </w:p>
    <w:p w:rsidR="00000000" w:rsidDel="00000000" w:rsidP="00000000" w:rsidRDefault="00000000" w:rsidRPr="00000000" w14:paraId="0000000B">
      <w:pPr>
        <w:keepNext w:val="1"/>
        <w:spacing w:after="80" w:before="240" w:lineRule="auto"/>
        <w:rPr/>
      </w:pPr>
      <w:r w:rsidDel="00000000" w:rsidR="00000000" w:rsidRPr="00000000">
        <w:rPr>
          <w:b w:val="1"/>
          <w:bCs w:val="1"/>
          <w:color w:val="5c768d"/>
          <w:sz w:val="24"/>
          <w:szCs w:val="24"/>
          <w:rtl w:val="0"/>
        </w:rPr>
        <w:t xml:space="preserve">Stage 1—Tokenization &amp; Ingestion Layer</w:t>
      </w:r>
      <w:r w:rsidDel="00000000" w:rsidR="00000000" w:rsidRPr="00000000">
        <w:rPr>
          <w:rtl w:val="0"/>
        </w:rPr>
      </w:r>
    </w:p>
    <w:p w:rsidR="00000000" w:rsidDel="00000000" w:rsidP="00000000" w:rsidRDefault="00000000" w:rsidRPr="00000000" w14:paraId="0000000C">
      <w:pPr>
        <w:ind w:left="288" w:firstLine="0"/>
        <w:rPr/>
      </w:pPr>
      <w:r w:rsidDel="00000000" w:rsidR="00000000" w:rsidRPr="00000000">
        <w:rPr>
          <w:b w:val="1"/>
          <w:bCs w:val="1"/>
          <w:rtl w:val="0"/>
        </w:rPr>
        <w:t xml:space="preserve">■ Structural Layer Core: TOKENIZATION LAYER (Web Portal Intake Boundary)</w:t>
        <w:br w:type="textWrapping"/>
      </w:r>
      <w:r w:rsidDel="00000000" w:rsidR="00000000" w:rsidRPr="00000000">
        <w:rPr>
          <w:rtl w:val="0"/>
        </w:rPr>
        <w:t xml:space="preserve">   • Raw input claims text &amp; multi-format PDF narrative document ingest</w:t>
        <w:br w:type="textWrapping"/>
        <w:t xml:space="preserve">   • Unicode normalization and string cleaning parsing arrays</w:t>
        <w:br w:type="textWrapping"/>
        <w:t xml:space="preserve">   • Token vocabulary dictionary matching lookup operations</w:t>
        <w:br w:type="textWrapping"/>
        <w:t xml:space="preserve">   • Numerical integer token sequence matrix generation</w:t>
        <w:br w:type="textWrapping"/>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fff3cd"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b w:val="1"/>
                <w:bCs w:val="1"/>
                <w:color w:val="a04000"/>
                <w:sz w:val="19"/>
                <w:szCs w:val="19"/>
                <w:rtl w:val="0"/>
              </w:rPr>
              <w:t xml:space="preserve">[ AUDIT-READY COMPLIANCE ANNOTATION OVERLAY ]</w:t>
              <w:br w:type="textWrapping"/>
            </w:r>
            <w:r w:rsidDel="00000000" w:rsidR="00000000" w:rsidRPr="00000000">
              <w:rPr>
                <w:b w:val="1"/>
                <w:bCs w:val="1"/>
                <w:sz w:val="20"/>
                <w:szCs w:val="20"/>
                <w:rtl w:val="0"/>
              </w:rPr>
              <w:t xml:space="preserve">Surface Name: </w:t>
            </w:r>
            <w:r w:rsidDel="00000000" w:rsidR="00000000" w:rsidRPr="00000000">
              <w:rPr>
                <w:b w:val="1"/>
                <w:bCs w:val="1"/>
                <w:color w:val="1b365d"/>
                <w:sz w:val="20"/>
                <w:szCs w:val="20"/>
                <w:rtl w:val="0"/>
              </w:rPr>
              <w:t xml:space="preserve">the model API endpoint</w:t>
              <w:br w:type="textWrapping"/>
            </w:r>
            <w:r w:rsidDel="00000000" w:rsidR="00000000" w:rsidRPr="00000000">
              <w:rPr>
                <w:b w:val="1"/>
                <w:bCs w:val="1"/>
                <w:sz w:val="20"/>
                <w:szCs w:val="20"/>
                <w:rtl w:val="0"/>
              </w:rPr>
              <w:t xml:space="preserve">Exploit Note: </w:t>
            </w:r>
            <w:r w:rsidDel="00000000" w:rsidR="00000000" w:rsidRPr="00000000">
              <w:rPr>
                <w:sz w:val="20"/>
                <w:szCs w:val="20"/>
                <w:rtl w:val="0"/>
              </w:rPr>
              <w:t xml:space="preserve">Direct exposure to direct/indirect prompt injection payloads embedded in untrusted patient narratives, which can hijack the downstream LLM attention context or force prompt leakage.</w:t>
            </w:r>
            <w:r w:rsidDel="00000000" w:rsidR="00000000" w:rsidRPr="00000000">
              <w:rPr>
                <w:rtl w:val="0"/>
              </w:rPr>
            </w:r>
          </w:p>
        </w:tc>
      </w:tr>
    </w:tbl>
    <w:p w:rsidR="00000000" w:rsidDel="00000000" w:rsidP="00000000" w:rsidRDefault="00000000" w:rsidRPr="00000000" w14:paraId="0000000E">
      <w:pPr>
        <w:spacing w:after="200" w:before="80" w:lineRule="auto"/>
        <w:jc w:val="center"/>
        <w:rPr/>
      </w:pPr>
      <w:r w:rsidDel="00000000" w:rsidR="00000000" w:rsidRPr="00000000">
        <w:rPr>
          <w:i w:val="1"/>
          <w:iCs w:val="1"/>
          <w:color w:val="888888"/>
          <w:rtl w:val="0"/>
        </w:rPr>
        <w:t xml:space="preserve"> Token sequence integer matrices → </w:t>
      </w:r>
      <w:r w:rsidDel="00000000" w:rsidR="00000000" w:rsidRPr="00000000">
        <w:rPr>
          <w:rtl w:val="0"/>
        </w:rPr>
      </w:r>
    </w:p>
    <w:p w:rsidR="00000000" w:rsidDel="00000000" w:rsidP="00000000" w:rsidRDefault="00000000" w:rsidRPr="00000000" w14:paraId="0000000F">
      <w:pPr>
        <w:keepNext w:val="1"/>
        <w:spacing w:after="80" w:before="240" w:lineRule="auto"/>
        <w:rPr/>
      </w:pPr>
      <w:r w:rsidDel="00000000" w:rsidR="00000000" w:rsidRPr="00000000">
        <w:rPr>
          <w:b w:val="1"/>
          <w:bCs w:val="1"/>
          <w:color w:val="5c768d"/>
          <w:sz w:val="24"/>
          <w:szCs w:val="24"/>
          <w:rtl w:val="0"/>
        </w:rPr>
        <w:t xml:space="preserve">Stage 2—Vector Embedding Layer</w:t>
      </w:r>
      <w:r w:rsidDel="00000000" w:rsidR="00000000" w:rsidRPr="00000000">
        <w:rPr>
          <w:rtl w:val="0"/>
        </w:rPr>
      </w:r>
    </w:p>
    <w:p w:rsidR="00000000" w:rsidDel="00000000" w:rsidP="00000000" w:rsidRDefault="00000000" w:rsidRPr="00000000" w14:paraId="00000010">
      <w:pPr>
        <w:ind w:left="288" w:firstLine="0"/>
        <w:rPr/>
      </w:pPr>
      <w:r w:rsidDel="00000000" w:rsidR="00000000" w:rsidRPr="00000000">
        <w:rPr>
          <w:b w:val="1"/>
          <w:bCs w:val="1"/>
          <w:rtl w:val="0"/>
        </w:rPr>
        <w:t xml:space="preserve">■ Structural Layer Core: EMBEDDING LAYER</w:t>
        <w:br w:type="textWrapping"/>
      </w:r>
      <w:r w:rsidDel="00000000" w:rsidR="00000000" w:rsidRPr="00000000">
        <w:rPr>
          <w:rtl w:val="0"/>
        </w:rPr>
        <w:t xml:space="preserve">   • Token-to-vector high-dimensional parameter space mapping</w:t>
        <w:br w:type="textWrapping"/>
        <w:t xml:space="preserve">   • Sinusoidal/learned positional encoding matrix matrix addition</w:t>
        <w:br w:type="textWrapping"/>
        <w:t xml:space="preserve">   • Dense numeric continuous vector representation generation</w:t>
        <w:br w:type="textWrapping"/>
      </w:r>
    </w:p>
    <w:p w:rsidR="00000000" w:rsidDel="00000000" w:rsidP="00000000" w:rsidRDefault="00000000" w:rsidRPr="00000000" w14:paraId="00000011">
      <w:pPr>
        <w:spacing w:after="200" w:before="80" w:lineRule="auto"/>
        <w:jc w:val="center"/>
        <w:rPr/>
      </w:pPr>
      <w:r w:rsidDel="00000000" w:rsidR="00000000" w:rsidRPr="00000000">
        <w:rPr>
          <w:i w:val="1"/>
          <w:iCs w:val="1"/>
          <w:color w:val="888888"/>
          <w:rtl w:val="0"/>
        </w:rPr>
        <w:t xml:space="preserve"> Embedded dense continuous vectors → </w:t>
      </w:r>
      <w:r w:rsidDel="00000000" w:rsidR="00000000" w:rsidRPr="00000000">
        <w:rPr>
          <w:rtl w:val="0"/>
        </w:rPr>
      </w:r>
    </w:p>
    <w:p w:rsidR="00000000" w:rsidDel="00000000" w:rsidP="00000000" w:rsidRDefault="00000000" w:rsidRPr="00000000" w14:paraId="00000012">
      <w:pPr>
        <w:keepNext w:val="1"/>
        <w:spacing w:after="80" w:before="240" w:lineRule="auto"/>
        <w:rPr/>
      </w:pPr>
      <w:r w:rsidDel="00000000" w:rsidR="00000000" w:rsidRPr="00000000">
        <w:rPr>
          <w:b w:val="1"/>
          <w:bCs w:val="1"/>
          <w:color w:val="5c768d"/>
          <w:sz w:val="24"/>
          <w:szCs w:val="24"/>
          <w:rtl w:val="0"/>
        </w:rPr>
        <w:t xml:space="preserve">Stage 3—Attention Mechanisms &amp; Knowledge Core</w:t>
      </w:r>
      <w:r w:rsidDel="00000000" w:rsidR="00000000" w:rsidRPr="00000000">
        <w:rPr>
          <w:rtl w:val="0"/>
        </w:rPr>
      </w:r>
    </w:p>
    <w:p w:rsidR="00000000" w:rsidDel="00000000" w:rsidP="00000000" w:rsidRDefault="00000000" w:rsidRPr="00000000" w14:paraId="00000013">
      <w:pPr>
        <w:ind w:left="288" w:firstLine="0"/>
        <w:rPr/>
      </w:pPr>
      <w:r w:rsidDel="00000000" w:rsidR="00000000" w:rsidRPr="00000000">
        <w:rPr>
          <w:b w:val="1"/>
          <w:bCs w:val="1"/>
          <w:rtl w:val="0"/>
        </w:rPr>
        <w:t xml:space="preserve">■ Structural Layer Core: ATTENTION LAYER (Context Window Processing Hub)</w:t>
        <w:br w:type="textWrapping"/>
      </w:r>
      <w:r w:rsidDel="00000000" w:rsidR="00000000" w:rsidRPr="00000000">
        <w:rPr>
          <w:rtl w:val="0"/>
        </w:rPr>
        <w:t xml:space="preserve">   • Query, Key, and Value tensor matrix calculation projections</w:t>
        <w:br w:type="textWrapping"/>
        <w:t xml:space="preserve">   • Multi-head scaled dot-product attention calculation maps</w:t>
        <w:br w:type="textWrapping"/>
        <w:t xml:space="preserve">   • Context window assembly and sequence length token packing</w:t>
        <w:br w:type="textWrapping"/>
      </w:r>
    </w:p>
    <w:p w:rsidR="00000000" w:rsidDel="00000000" w:rsidP="00000000" w:rsidRDefault="00000000" w:rsidRPr="00000000" w14:paraId="00000014">
      <w:pPr>
        <w:spacing w:after="40" w:before="40" w:lineRule="auto"/>
        <w:ind w:left="576" w:firstLine="0"/>
        <w:rPr/>
      </w:pPr>
      <w:r w:rsidDel="00000000" w:rsidR="00000000" w:rsidRPr="00000000">
        <w:rPr>
          <w:b w:val="1"/>
          <w:bCs w:val="1"/>
          <w:color w:val="5c768d"/>
          <w:sz w:val="19"/>
          <w:szCs w:val="19"/>
          <w:rtl w:val="0"/>
        </w:rPr>
        <w:t xml:space="preserve">▲ SYSTEM CALLOUT HUB — </w:t>
      </w:r>
      <w:r w:rsidDel="00000000" w:rsidR="00000000" w:rsidRPr="00000000">
        <w:rPr>
          <w:i w:val="1"/>
          <w:iCs w:val="1"/>
          <w:sz w:val="19"/>
          <w:szCs w:val="19"/>
          <w:rtl w:val="0"/>
        </w:rPr>
        <w:t xml:space="preserve">KNOWLEDGE BASE INTEGRATION (RAG Framework):</w:t>
        <w:br w:type="textWrapping"/>
        <w:t xml:space="preserve">Historical clinical records, corporate insurance policy guidelines, and medical adjudication underwriting reference databases.</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ff3cd"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b w:val="1"/>
                <w:bCs w:val="1"/>
                <w:color w:val="a04000"/>
                <w:sz w:val="19"/>
                <w:szCs w:val="19"/>
                <w:rtl w:val="0"/>
              </w:rPr>
              <w:t xml:space="preserve">[ AUDIT-READY COMPLIANCE ANNOTATION OVERLAY ]</w:t>
              <w:br w:type="textWrapping"/>
            </w:r>
            <w:r w:rsidDel="00000000" w:rsidR="00000000" w:rsidRPr="00000000">
              <w:rPr>
                <w:b w:val="1"/>
                <w:bCs w:val="1"/>
                <w:sz w:val="20"/>
                <w:szCs w:val="20"/>
                <w:rtl w:val="0"/>
              </w:rPr>
              <w:t xml:space="preserve">Surface Name: </w:t>
            </w:r>
            <w:r w:rsidDel="00000000" w:rsidR="00000000" w:rsidRPr="00000000">
              <w:rPr>
                <w:b w:val="1"/>
                <w:bCs w:val="1"/>
                <w:color w:val="1b365d"/>
                <w:sz w:val="20"/>
                <w:szCs w:val="20"/>
                <w:rtl w:val="0"/>
              </w:rPr>
              <w:t xml:space="preserve">the training data pipeline</w:t>
              <w:br w:type="textWrapping"/>
            </w:r>
            <w:r w:rsidDel="00000000" w:rsidR="00000000" w:rsidRPr="00000000">
              <w:rPr>
                <w:b w:val="1"/>
                <w:bCs w:val="1"/>
                <w:sz w:val="20"/>
                <w:szCs w:val="20"/>
                <w:rtl w:val="0"/>
              </w:rPr>
              <w:t xml:space="preserve">Exploit Note: </w:t>
            </w:r>
            <w:r w:rsidDel="00000000" w:rsidR="00000000" w:rsidRPr="00000000">
              <w:rPr>
                <w:sz w:val="20"/>
                <w:szCs w:val="20"/>
                <w:rtl w:val="0"/>
              </w:rPr>
              <w:t xml:space="preserve">Susceptible to training data poisoning and RAG repository tampering. Injecting fraudulent claims history or corrupted policies causes systemic underwriting bias or backdoors.</w:t>
            </w:r>
            <w:r w:rsidDel="00000000" w:rsidR="00000000" w:rsidRPr="00000000">
              <w:rPr>
                <w:rtl w:val="0"/>
              </w:rPr>
            </w:r>
          </w:p>
        </w:tc>
      </w:tr>
    </w:tbl>
    <w:p w:rsidR="00000000" w:rsidDel="00000000" w:rsidP="00000000" w:rsidRDefault="00000000" w:rsidRPr="00000000" w14:paraId="00000016">
      <w:pPr>
        <w:spacing w:after="200" w:before="80" w:lineRule="auto"/>
        <w:jc w:val="center"/>
        <w:rPr/>
      </w:pPr>
      <w:r w:rsidDel="00000000" w:rsidR="00000000" w:rsidRPr="00000000">
        <w:rPr>
          <w:i w:val="1"/>
          <w:iCs w:val="1"/>
          <w:color w:val="888888"/>
          <w:rtl w:val="0"/>
        </w:rPr>
        <w:t xml:space="preserve"> Weighted context tensor arrays → </w:t>
      </w:r>
      <w:r w:rsidDel="00000000" w:rsidR="00000000" w:rsidRPr="00000000">
        <w:rPr>
          <w:rtl w:val="0"/>
        </w:rPr>
      </w:r>
    </w:p>
    <w:p w:rsidR="00000000" w:rsidDel="00000000" w:rsidP="00000000" w:rsidRDefault="00000000" w:rsidRPr="00000000" w14:paraId="00000017">
      <w:pPr>
        <w:keepNext w:val="1"/>
        <w:spacing w:after="80" w:before="240" w:lineRule="auto"/>
        <w:rPr/>
      </w:pPr>
      <w:r w:rsidDel="00000000" w:rsidR="00000000" w:rsidRPr="00000000">
        <w:rPr>
          <w:b w:val="1"/>
          <w:bCs w:val="1"/>
          <w:color w:val="5c768d"/>
          <w:sz w:val="24"/>
          <w:szCs w:val="24"/>
          <w:rtl w:val="0"/>
        </w:rPr>
        <w:t xml:space="preserve">Stage 4—Output Decoding &amp; Routing</w:t>
      </w:r>
      <w:r w:rsidDel="00000000" w:rsidR="00000000" w:rsidRPr="00000000">
        <w:rPr>
          <w:rtl w:val="0"/>
        </w:rPr>
      </w:r>
    </w:p>
    <w:p w:rsidR="00000000" w:rsidDel="00000000" w:rsidP="00000000" w:rsidRDefault="00000000" w:rsidRPr="00000000" w14:paraId="00000018">
      <w:pPr>
        <w:ind w:left="288" w:firstLine="0"/>
        <w:rPr/>
      </w:pPr>
      <w:r w:rsidDel="00000000" w:rsidR="00000000" w:rsidRPr="00000000">
        <w:rPr>
          <w:b w:val="1"/>
          <w:bCs w:val="1"/>
          <w:rtl w:val="0"/>
        </w:rPr>
        <w:t xml:space="preserve">■ Structural Layer Core: OUTPUT DECODING LAYER</w:t>
        <w:br w:type="textWrapping"/>
      </w:r>
      <w:r w:rsidDel="00000000" w:rsidR="00000000" w:rsidRPr="00000000">
        <w:rPr>
          <w:rtl w:val="0"/>
        </w:rPr>
        <w:t xml:space="preserve">   • Token probability logit distribution calculation matrix</w:t>
        <w:br w:type="textWrapping"/>
        <w:t xml:space="preserve">   • Temperature-scaled sampling / beam search token selection</w:t>
        <w:br w:type="textWrapping"/>
        <w:t xml:space="preserve">   • Response text token character sequence generation</w:t>
        <w:br w:type="textWrapping"/>
      </w:r>
    </w:p>
    <w:p w:rsidR="00000000" w:rsidDel="00000000" w:rsidP="00000000" w:rsidRDefault="00000000" w:rsidRPr="00000000" w14:paraId="00000019">
      <w:pPr>
        <w:spacing w:after="40" w:before="40" w:lineRule="auto"/>
        <w:ind w:left="576" w:firstLine="0"/>
        <w:rPr/>
      </w:pPr>
      <w:r w:rsidDel="00000000" w:rsidR="00000000" w:rsidRPr="00000000">
        <w:rPr>
          <w:b w:val="1"/>
          <w:bCs w:val="1"/>
          <w:color w:val="5c768d"/>
          <w:sz w:val="19"/>
          <w:szCs w:val="19"/>
          <w:rtl w:val="0"/>
        </w:rPr>
        <w:t xml:space="preserve">▲ SYSTEM CALLOUT HUB — </w:t>
      </w:r>
      <w:r w:rsidDel="00000000" w:rsidR="00000000" w:rsidRPr="00000000">
        <w:rPr>
          <w:i w:val="1"/>
          <w:iCs w:val="1"/>
          <w:sz w:val="19"/>
          <w:szCs w:val="19"/>
          <w:rtl w:val="0"/>
        </w:rPr>
        <w:t xml:space="preserve">BACKEND SYSTEM DISPATCH INTEGRATION:</w:t>
        <w:br w:type="textWrapping"/>
        <w:t xml:space="preserve">Automated Claims Adjudication Queue, High-Risk Human Review Queue, and Medical Underwriting Systems.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ff3cd" w:val="clear"/>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b w:val="1"/>
                <w:bCs w:val="1"/>
                <w:color w:val="a04000"/>
                <w:sz w:val="19"/>
                <w:szCs w:val="19"/>
                <w:rtl w:val="0"/>
              </w:rPr>
              <w:t xml:space="preserve">[ AUDIT-READY COMPLIANCE ANNOTATION OVERLAY ]</w:t>
              <w:br w:type="textWrapping"/>
            </w:r>
            <w:r w:rsidDel="00000000" w:rsidR="00000000" w:rsidRPr="00000000">
              <w:rPr>
                <w:b w:val="1"/>
                <w:bCs w:val="1"/>
                <w:sz w:val="20"/>
                <w:szCs w:val="20"/>
                <w:rtl w:val="0"/>
              </w:rPr>
              <w:t xml:space="preserve">Surface Name: </w:t>
            </w:r>
            <w:r w:rsidDel="00000000" w:rsidR="00000000" w:rsidRPr="00000000">
              <w:rPr>
                <w:b w:val="1"/>
                <w:bCs w:val="1"/>
                <w:color w:val="1b365d"/>
                <w:sz w:val="20"/>
                <w:szCs w:val="20"/>
                <w:rtl w:val="0"/>
              </w:rPr>
              <w:t xml:space="preserve">the inference output layer</w:t>
              <w:br w:type="textWrapping"/>
            </w:r>
            <w:r w:rsidDel="00000000" w:rsidR="00000000" w:rsidRPr="00000000">
              <w:rPr>
                <w:b w:val="1"/>
                <w:bCs w:val="1"/>
                <w:sz w:val="20"/>
                <w:szCs w:val="20"/>
                <w:rtl w:val="0"/>
              </w:rPr>
              <w:t xml:space="preserve">Exploit Note: </w:t>
            </w:r>
            <w:r w:rsidDel="00000000" w:rsidR="00000000" w:rsidRPr="00000000">
              <w:rPr>
                <w:sz w:val="20"/>
                <w:szCs w:val="20"/>
                <w:rtl w:val="0"/>
              </w:rPr>
              <w:t xml:space="preserve">Exploitation via output manipulation or indirect injections. Hijacked outputs force the model to issue automated underwriting flags or route high-risk files to normal queues, bypassing human-in-the-loop audit oversight.</w:t>
            </w:r>
            <w:r w:rsidDel="00000000" w:rsidR="00000000" w:rsidRPr="00000000">
              <w:rPr>
                <w:rtl w:val="0"/>
              </w:rPr>
            </w:r>
          </w:p>
        </w:tc>
      </w:tr>
    </w:tbl>
    <w:p w:rsidR="00000000" w:rsidDel="00000000" w:rsidP="00000000" w:rsidRDefault="00000000" w:rsidRPr="00000000" w14:paraId="0000001B">
      <w:pPr>
        <w:spacing w:after="200" w:before="80" w:lineRule="auto"/>
        <w:jc w:val="center"/>
        <w:rPr>
          <w:color w:val="888888"/>
        </w:rPr>
      </w:pPr>
      <w:r w:rsidDel="00000000" w:rsidR="00000000" w:rsidRPr="00000000">
        <w:rPr>
          <w:i w:val="1"/>
          <w:iCs w:val="1"/>
          <w:color w:val="888888"/>
          <w:rtl w:val="0"/>
        </w:rPr>
        <w:t xml:space="preserve"> </w:t>
      </w:r>
      <w:r w:rsidDel="00000000" w:rsidR="00000000" w:rsidRPr="00000000">
        <w:rPr>
          <w:color w:val="888888"/>
          <w:rtl w:val="0"/>
        </w:rPr>
        <w:t xml:space="preserve">Final System Action / Queue Dispatch Summary Result </w:t>
      </w:r>
    </w:p>
    <w:p w:rsidR="00000000" w:rsidDel="00000000" w:rsidP="00000000" w:rsidRDefault="00000000" w:rsidRPr="00000000" w14:paraId="0000001C">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spacing w:before="360" w:lineRule="auto"/>
        <w:rPr/>
      </w:pPr>
      <w:r w:rsidDel="00000000" w:rsidR="00000000" w:rsidRPr="00000000">
        <w:rPr>
          <w:b w:val="1"/>
          <w:bCs w:val="1"/>
          <w:color w:val="1b365d"/>
          <w:sz w:val="28"/>
          <w:szCs w:val="28"/>
          <w:rtl w:val="0"/>
        </w:rPr>
        <w:t xml:space="preserve">SECTION 3 | DETAILED TECHNICAL ANALYSIS MATRIX</w:t>
      </w:r>
      <w:r w:rsidDel="00000000" w:rsidR="00000000" w:rsidRPr="00000000">
        <w:rPr>
          <w:rtl w:val="0"/>
        </w:rPr>
      </w:r>
    </w:p>
    <w:tbl>
      <w:tblPr>
        <w:tblStyle w:val="Table5"/>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2160"/>
        <w:gridCol w:w="2016"/>
        <w:gridCol w:w="2304"/>
        <w:gridCol w:w="2880"/>
        <w:tblGridChange w:id="0">
          <w:tblGrid>
            <w:gridCol w:w="2160"/>
            <w:gridCol w:w="2016"/>
            <w:gridCol w:w="2304"/>
            <w:gridCol w:w="2880"/>
          </w:tblGrid>
        </w:tblGridChange>
      </w:tblGrid>
      <w:tr>
        <w:trPr>
          <w:cantSplit w:val="0"/>
          <w:tblHeader w:val="0"/>
        </w:trPr>
        <w:tc>
          <w:tcPr>
            <w:shd w:fill="1b365d" w:val="clear"/>
            <w:tcMar>
              <w:top w:w="120.0" w:type="dxa"/>
              <w:left w:w="100.0" w:type="dxa"/>
              <w:bottom w:w="120.0" w:type="dxa"/>
              <w:right w:w="100.0" w:type="dxa"/>
            </w:tcMar>
          </w:tcPr>
          <w:p w:rsidR="00000000" w:rsidDel="00000000" w:rsidP="00000000" w:rsidRDefault="00000000" w:rsidRPr="00000000" w14:paraId="0000001E">
            <w:pPr>
              <w:spacing w:after="0" w:lineRule="auto"/>
              <w:rPr/>
            </w:pPr>
            <w:r w:rsidDel="00000000" w:rsidR="00000000" w:rsidRPr="00000000">
              <w:rPr>
                <w:b w:val="1"/>
                <w:bCs w:val="1"/>
                <w:color w:val="ffffff"/>
                <w:sz w:val="19"/>
                <w:szCs w:val="19"/>
                <w:rtl w:val="0"/>
              </w:rPr>
              <w:t xml:space="preserve">Identified Attack Surface</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1F">
            <w:pPr>
              <w:spacing w:after="0" w:lineRule="auto"/>
              <w:rPr/>
            </w:pPr>
            <w:r w:rsidDel="00000000" w:rsidR="00000000" w:rsidRPr="00000000">
              <w:rPr>
                <w:b w:val="1"/>
                <w:bCs w:val="1"/>
                <w:color w:val="ffffff"/>
                <w:sz w:val="19"/>
                <w:szCs w:val="19"/>
                <w:rtl w:val="0"/>
              </w:rPr>
              <w:t xml:space="preserve">Architectural Mapping Location</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20">
            <w:pPr>
              <w:spacing w:after="0" w:lineRule="auto"/>
              <w:rPr/>
            </w:pPr>
            <w:r w:rsidDel="00000000" w:rsidR="00000000" w:rsidRPr="00000000">
              <w:rPr>
                <w:b w:val="1"/>
                <w:bCs w:val="1"/>
                <w:color w:val="ffffff"/>
                <w:sz w:val="19"/>
                <w:szCs w:val="19"/>
                <w:rtl w:val="0"/>
              </w:rPr>
              <w:t xml:space="preserve">Primary Threat Vector</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21">
            <w:pPr>
              <w:spacing w:after="0" w:lineRule="auto"/>
              <w:rPr/>
            </w:pPr>
            <w:r w:rsidDel="00000000" w:rsidR="00000000" w:rsidRPr="00000000">
              <w:rPr>
                <w:b w:val="1"/>
                <w:bCs w:val="1"/>
                <w:color w:val="ffffff"/>
                <w:sz w:val="19"/>
                <w:szCs w:val="19"/>
                <w:rtl w:val="0"/>
              </w:rPr>
              <w:t xml:space="preserve">Audit-Compliant Hardening Control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spacing w:after="0" w:lineRule="auto"/>
              <w:rPr/>
            </w:pPr>
            <w:r w:rsidDel="00000000" w:rsidR="00000000" w:rsidRPr="00000000">
              <w:rPr>
                <w:b w:val="1"/>
                <w:bCs w:val="1"/>
                <w:color w:val="1b365d"/>
                <w:sz w:val="18"/>
                <w:szCs w:val="18"/>
                <w:rtl w:val="0"/>
              </w:rPr>
              <w:t xml:space="preserve">the model API endpoint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spacing w:after="0" w:lineRule="auto"/>
              <w:rPr/>
            </w:pPr>
            <w:r w:rsidDel="00000000" w:rsidR="00000000" w:rsidRPr="00000000">
              <w:rPr>
                <w:sz w:val="18"/>
                <w:szCs w:val="18"/>
                <w:rtl w:val="0"/>
              </w:rPr>
              <w:t xml:space="preserve">Stage 1: Tokenization Ingestion Layer Boundary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4">
            <w:pPr>
              <w:spacing w:after="0" w:lineRule="auto"/>
              <w:rPr/>
            </w:pPr>
            <w:r w:rsidDel="00000000" w:rsidR="00000000" w:rsidRPr="00000000">
              <w:rPr>
                <w:sz w:val="18"/>
                <w:szCs w:val="18"/>
                <w:rtl w:val="0"/>
              </w:rPr>
              <w:t xml:space="preserve">Direct prompt injection, context manipulation, string format exploits, denial of service via long-form text sequences.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spacing w:after="0" w:lineRule="auto"/>
              <w:rPr/>
            </w:pPr>
            <w:r w:rsidDel="00000000" w:rsidR="00000000" w:rsidRPr="00000000">
              <w:rPr>
                <w:sz w:val="18"/>
                <w:szCs w:val="18"/>
                <w:rtl w:val="0"/>
              </w:rPr>
              <w:t xml:space="preserve">Implement heuristic validation layers, deterministic token length caps, strict unicode formatting enforcement rules, and real-time LLM input guardrails (e.g., automated input monitoring models).</w:t>
            </w:r>
            <w:r w:rsidDel="00000000" w:rsidR="00000000" w:rsidRPr="00000000">
              <w:rPr>
                <w:rtl w:val="0"/>
              </w:rPr>
            </w:r>
          </w:p>
        </w:tc>
      </w:tr>
      <w:tr>
        <w:trPr>
          <w:cantSplit w:val="0"/>
          <w:tblHeader w:val="0"/>
        </w:trPr>
        <w:tc>
          <w:tcPr>
            <w:shd w:fill="f9fafb" w:val="clear"/>
            <w:tcMar>
              <w:top w:w="100.0" w:type="dxa"/>
              <w:left w:w="100.0" w:type="dxa"/>
              <w:bottom w:w="100.0" w:type="dxa"/>
              <w:right w:w="100.0" w:type="dxa"/>
            </w:tcMar>
          </w:tcPr>
          <w:p w:rsidR="00000000" w:rsidDel="00000000" w:rsidP="00000000" w:rsidRDefault="00000000" w:rsidRPr="00000000" w14:paraId="00000026">
            <w:pPr>
              <w:spacing w:after="0" w:lineRule="auto"/>
              <w:rPr/>
            </w:pPr>
            <w:r w:rsidDel="00000000" w:rsidR="00000000" w:rsidRPr="00000000">
              <w:rPr>
                <w:b w:val="1"/>
                <w:bCs w:val="1"/>
                <w:color w:val="1b365d"/>
                <w:sz w:val="18"/>
                <w:szCs w:val="18"/>
                <w:rtl w:val="0"/>
              </w:rPr>
              <w:t xml:space="preserve">the training data pipeline</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7">
            <w:pPr>
              <w:spacing w:after="0" w:lineRule="auto"/>
              <w:rPr/>
            </w:pPr>
            <w:r w:rsidDel="00000000" w:rsidR="00000000" w:rsidRPr="00000000">
              <w:rPr>
                <w:sz w:val="18"/>
                <w:szCs w:val="18"/>
                <w:rtl w:val="0"/>
              </w:rPr>
              <w:t xml:space="preserve">Stage 3: Attention Window Knowledge Core Ingest</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8">
            <w:pPr>
              <w:spacing w:after="0" w:lineRule="auto"/>
              <w:rPr/>
            </w:pPr>
            <w:r w:rsidDel="00000000" w:rsidR="00000000" w:rsidRPr="00000000">
              <w:rPr>
                <w:sz w:val="18"/>
                <w:szCs w:val="18"/>
                <w:rtl w:val="0"/>
              </w:rPr>
              <w:t xml:space="preserve">Data poisoning, unauthorized RAG manipulation, historical underwriting log corruptions, model backdoor injections.</w:t>
            </w:r>
            <w:r w:rsidDel="00000000" w:rsidR="00000000" w:rsidRPr="00000000">
              <w:rPr>
                <w:rtl w:val="0"/>
              </w:rPr>
            </w:r>
          </w:p>
        </w:tc>
        <w:tc>
          <w:tcPr>
            <w:shd w:fill="f9fafb" w:val="clear"/>
            <w:tcMar>
              <w:top w:w="100.0" w:type="dxa"/>
              <w:left w:w="100.0" w:type="dxa"/>
              <w:bottom w:w="100.0" w:type="dxa"/>
              <w:right w:w="100.0" w:type="dxa"/>
            </w:tcMar>
          </w:tcPr>
          <w:p w:rsidR="00000000" w:rsidDel="00000000" w:rsidP="00000000" w:rsidRDefault="00000000" w:rsidRPr="00000000" w14:paraId="00000029">
            <w:pPr>
              <w:spacing w:after="0" w:lineRule="auto"/>
              <w:rPr/>
            </w:pPr>
            <w:r w:rsidDel="00000000" w:rsidR="00000000" w:rsidRPr="00000000">
              <w:rPr>
                <w:sz w:val="18"/>
                <w:szCs w:val="18"/>
                <w:rtl w:val="0"/>
              </w:rPr>
              <w:t xml:space="preserve">Enforce cryptographically verified hashing logs for all corpus updates, strict attribute-based access controls (ABAC) on storage partitions, differential privacy (DP-SGD) optimization parameters during training.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spacing w:after="0" w:lineRule="auto"/>
              <w:rPr/>
            </w:pPr>
            <w:r w:rsidDel="00000000" w:rsidR="00000000" w:rsidRPr="00000000">
              <w:rPr>
                <w:b w:val="1"/>
                <w:bCs w:val="1"/>
                <w:color w:val="1b365d"/>
                <w:sz w:val="18"/>
                <w:szCs w:val="18"/>
                <w:rtl w:val="0"/>
              </w:rPr>
              <w:t xml:space="preserve">the inference output layer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spacing w:after="0" w:lineRule="auto"/>
              <w:rPr/>
            </w:pPr>
            <w:r w:rsidDel="00000000" w:rsidR="00000000" w:rsidRPr="00000000">
              <w:rPr>
                <w:sz w:val="18"/>
                <w:szCs w:val="18"/>
                <w:rtl w:val="0"/>
              </w:rPr>
              <w:t xml:space="preserve">Stage 4: Output Decoding Layer Routing Dispatch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spacing w:after="0" w:lineRule="auto"/>
              <w:rPr/>
            </w:pPr>
            <w:r w:rsidDel="00000000" w:rsidR="00000000" w:rsidRPr="00000000">
              <w:rPr>
                <w:sz w:val="18"/>
                <w:szCs w:val="18"/>
                <w:rtl w:val="0"/>
              </w:rPr>
              <w:t xml:space="preserve">Indirect prompt injection routing bypass, human-in-the-loop orchestration jailbreaks, unauthorized API workflow execution.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spacing w:after="0" w:lineRule="auto"/>
              <w:rPr/>
            </w:pPr>
            <w:r w:rsidDel="00000000" w:rsidR="00000000" w:rsidRPr="00000000">
              <w:rPr>
                <w:sz w:val="18"/>
                <w:szCs w:val="18"/>
                <w:rtl w:val="0"/>
              </w:rPr>
              <w:t xml:space="preserve">Deploy strict structural output validation filters (regex JSON validators), enforce absolute separation between response blocks and routing tokens, and log all anomalous queue assignments for prompt human intervention.</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461rycCXAD2MZYNYK5W3861g==">CgMxLjA4AHIhMWNpdExyTTB0ZVplSW92NXA0TlFxTDJ6VlhjZnVTTl9i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