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b365d"/>
          <w:sz w:val="36"/>
          <w:szCs w:val="36"/>
          <w:rtl w:val="0"/>
        </w:rPr>
        <w:t xml:space="preserve">ADVERSARIAL RED-TEAMING &amp; SECURITY TEST REPORT</w:t>
      </w:r>
      <w:r w:rsidDel="00000000" w:rsidR="00000000" w:rsidRPr="00000000">
        <w:rPr>
          <w:rtl w:val="0"/>
        </w:rPr>
      </w:r>
    </w:p>
    <w:p w:rsidR="00000000" w:rsidDel="00000000" w:rsidP="00000000" w:rsidRDefault="00000000" w:rsidRPr="00000000" w14:paraId="00000002">
      <w:pPr>
        <w:spacing w:after="320" w:lineRule="auto"/>
        <w:rPr/>
      </w:pPr>
      <w:r w:rsidDel="00000000" w:rsidR="00000000" w:rsidRPr="00000000">
        <w:rPr>
          <w:i w:val="1"/>
          <w:iCs w:val="1"/>
          <w:color w:val="666666"/>
          <w:sz w:val="22"/>
          <w:szCs w:val="22"/>
          <w:rtl w:val="0"/>
        </w:rPr>
        <w:t xml:space="preserve">Adversarial Vulnerability Assessment for the Insurance Claims Triage AI Deployment</w:t>
      </w:r>
      <w:r w:rsidDel="00000000" w:rsidR="00000000" w:rsidRPr="00000000">
        <w:rPr>
          <w:rtl w:val="0"/>
        </w:rPr>
      </w:r>
    </w:p>
    <w:tbl>
      <w:tblPr>
        <w:tblStyle w:val="Table1"/>
        <w:tblW w:w="936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9fafb" w:val="clear"/>
            <w:tcMar>
              <w:top w:w="100.0" w:type="dxa"/>
              <w:left w:w="120.0" w:type="dxa"/>
              <w:bottom w:w="100.0" w:type="dxa"/>
              <w:right w:w="120.0" w:type="dxa"/>
            </w:tcMar>
          </w:tcPr>
          <w:p w:rsidR="00000000" w:rsidDel="00000000" w:rsidP="00000000" w:rsidRDefault="00000000" w:rsidRPr="00000000" w14:paraId="00000003">
            <w:pPr>
              <w:spacing w:after="0" w:lineRule="auto"/>
              <w:rPr/>
            </w:pPr>
            <w:r w:rsidDel="00000000" w:rsidR="00000000" w:rsidRPr="00000000">
              <w:rPr>
                <w:b w:val="1"/>
                <w:bCs w:val="1"/>
                <w:sz w:val="19"/>
                <w:szCs w:val="19"/>
                <w:rtl w:val="0"/>
              </w:rPr>
              <w:t xml:space="preserve">Target System Evaluated:</w:t>
            </w:r>
            <w:r w:rsidDel="00000000" w:rsidR="00000000" w:rsidRPr="00000000">
              <w:rPr>
                <w:sz w:val="19"/>
                <w:szCs w:val="19"/>
                <w:rtl w:val="0"/>
              </w:rPr>
              <w:t xml:space="preserve"> Insurance Claims Triage AI</w:t>
            </w:r>
            <w:r w:rsidDel="00000000" w:rsidR="00000000" w:rsidRPr="00000000">
              <w:rPr>
                <w:rtl w:val="0"/>
              </w:rPr>
            </w:r>
          </w:p>
        </w:tc>
        <w:tc>
          <w:tcPr>
            <w:shd w:fill="f9fafb" w:val="clear"/>
            <w:tcMar>
              <w:top w:w="100.0" w:type="dxa"/>
              <w:left w:w="120.0" w:type="dxa"/>
              <w:bottom w:w="100.0" w:type="dxa"/>
              <w:right w:w="120.0" w:type="dxa"/>
            </w:tcMar>
          </w:tcPr>
          <w:p w:rsidR="00000000" w:rsidDel="00000000" w:rsidP="00000000" w:rsidRDefault="00000000" w:rsidRPr="00000000" w14:paraId="00000004">
            <w:pPr>
              <w:spacing w:after="0" w:lineRule="auto"/>
              <w:rPr/>
            </w:pPr>
            <w:r w:rsidDel="00000000" w:rsidR="00000000" w:rsidRPr="00000000">
              <w:rPr>
                <w:b w:val="1"/>
                <w:bCs w:val="1"/>
                <w:sz w:val="19"/>
                <w:szCs w:val="19"/>
                <w:rtl w:val="0"/>
              </w:rPr>
              <w:t xml:space="preserve">Document Reference:</w:t>
            </w:r>
            <w:r w:rsidDel="00000000" w:rsidR="00000000" w:rsidRPr="00000000">
              <w:rPr>
                <w:sz w:val="19"/>
                <w:szCs w:val="19"/>
                <w:rtl w:val="0"/>
              </w:rPr>
              <w:t xml:space="preserve"> MHP-ADV-REP-2026-v1</w:t>
            </w:r>
            <w:r w:rsidDel="00000000" w:rsidR="00000000" w:rsidRPr="00000000">
              <w:rPr>
                <w:rtl w:val="0"/>
              </w:rPr>
            </w:r>
          </w:p>
        </w:tc>
      </w:tr>
      <w:tr>
        <w:trPr>
          <w:cantSplit w:val="0"/>
          <w:tblHeader w:val="0"/>
        </w:trPr>
        <w:tc>
          <w:tcPr>
            <w:shd w:fill="f9fafb" w:val="clear"/>
            <w:tcMar>
              <w:top w:w="100.0" w:type="dxa"/>
              <w:left w:w="120.0" w:type="dxa"/>
              <w:bottom w:w="100.0" w:type="dxa"/>
              <w:right w:w="120.0" w:type="dxa"/>
            </w:tcMar>
          </w:tcPr>
          <w:p w:rsidR="00000000" w:rsidDel="00000000" w:rsidP="00000000" w:rsidRDefault="00000000" w:rsidRPr="00000000" w14:paraId="00000005">
            <w:pPr>
              <w:spacing w:after="0" w:lineRule="auto"/>
              <w:rPr/>
            </w:pPr>
            <w:r w:rsidDel="00000000" w:rsidR="00000000" w:rsidRPr="00000000">
              <w:rPr>
                <w:b w:val="1"/>
                <w:bCs w:val="1"/>
                <w:sz w:val="19"/>
                <w:szCs w:val="19"/>
                <w:rtl w:val="0"/>
              </w:rPr>
              <w:t xml:space="preserve">Execution Period:</w:t>
            </w:r>
            <w:r w:rsidDel="00000000" w:rsidR="00000000" w:rsidRPr="00000000">
              <w:rPr>
                <w:sz w:val="19"/>
                <w:szCs w:val="19"/>
                <w:rtl w:val="0"/>
              </w:rPr>
              <w:t xml:space="preserve"> June 15, 2026 – June 30, 2026</w:t>
            </w:r>
            <w:r w:rsidDel="00000000" w:rsidR="00000000" w:rsidRPr="00000000">
              <w:rPr>
                <w:rtl w:val="0"/>
              </w:rPr>
            </w:r>
          </w:p>
        </w:tc>
        <w:tc>
          <w:tcPr>
            <w:shd w:fill="f9fafb"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1"/>
                <w:bCs w:val="1"/>
                <w:sz w:val="19"/>
                <w:szCs w:val="19"/>
                <w:rtl w:val="0"/>
              </w:rPr>
              <w:t xml:space="preserve">Security Classification:</w:t>
            </w:r>
            <w:r w:rsidDel="00000000" w:rsidR="00000000" w:rsidRPr="00000000">
              <w:rPr>
                <w:sz w:val="19"/>
                <w:szCs w:val="19"/>
                <w:rtl w:val="0"/>
              </w:rPr>
              <w:t xml:space="preserve"> Internal — Restricted</w:t>
            </w:r>
            <w:r w:rsidDel="00000000" w:rsidR="00000000" w:rsidRPr="00000000">
              <w:rPr>
                <w:rtl w:val="0"/>
              </w:rPr>
            </w:r>
          </w:p>
        </w:tc>
      </w:tr>
      <w:tr>
        <w:trPr>
          <w:cantSplit w:val="0"/>
          <w:tblHeader w:val="0"/>
        </w:trPr>
        <w:tc>
          <w:tcPr>
            <w:shd w:fill="f9fafb"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b w:val="1"/>
                <w:bCs w:val="1"/>
                <w:sz w:val="19"/>
                <w:szCs w:val="19"/>
                <w:rtl w:val="0"/>
              </w:rPr>
              <w:t xml:space="preserve">Lead Evaluator:</w:t>
            </w:r>
            <w:r w:rsidDel="00000000" w:rsidR="00000000" w:rsidRPr="00000000">
              <w:rPr>
                <w:sz w:val="19"/>
                <w:szCs w:val="19"/>
                <w:rtl w:val="0"/>
              </w:rPr>
              <w:t xml:space="preserve"> Principal Adversarial Engineer</w:t>
            </w:r>
            <w:r w:rsidDel="00000000" w:rsidR="00000000" w:rsidRPr="00000000">
              <w:rPr>
                <w:rtl w:val="0"/>
              </w:rPr>
            </w:r>
          </w:p>
        </w:tc>
        <w:tc>
          <w:tcPr>
            <w:shd w:fill="f9fafb"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1"/>
                <w:bCs w:val="1"/>
                <w:sz w:val="19"/>
                <w:szCs w:val="19"/>
                <w:rtl w:val="0"/>
              </w:rPr>
              <w:t xml:space="preserve">Approved Reviewer:</w:t>
            </w:r>
            <w:r w:rsidDel="00000000" w:rsidR="00000000" w:rsidRPr="00000000">
              <w:rPr>
                <w:sz w:val="19"/>
                <w:szCs w:val="19"/>
                <w:rtl w:val="0"/>
              </w:rPr>
              <w:t xml:space="preserve"> AI Governance Lead</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keepNext w:val="1"/>
        <w:spacing w:after="120" w:before="360" w:lineRule="auto"/>
        <w:rPr/>
      </w:pPr>
      <w:r w:rsidDel="00000000" w:rsidR="00000000" w:rsidRPr="00000000">
        <w:rPr>
          <w:b w:val="1"/>
          <w:bCs w:val="1"/>
          <w:color w:val="1b365d"/>
          <w:sz w:val="28"/>
          <w:szCs w:val="28"/>
          <w:rtl w:val="0"/>
        </w:rPr>
        <w:t xml:space="preserve">SECTION 1 | EXECUTIVE SUMMARY &amp; ENGAGEMENT OBJECTIVES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During the second half of June 2026, Contoso Health Partners' AI Security function performed a comprehensive adversarial red-teaming evaluation of the production-staged Insurance Claims Triage AI. The primary goal of this offensive assessment was to identify structural flaws, parameter processing weaknesses, and validation defects across the model's architectural sub-layers before the formal regulatory readiness audit. By simulating real-world attacker methodologies, including obfuscated token manipulation, context-window hijacking, and secondary data injection, the red team successfully exposed vulnerabilities that could allow malicious actors to bypass human review workflows or compromise sensitive Article 9 patient documentation.</w:t>
      </w:r>
    </w:p>
    <w:p w:rsidR="00000000" w:rsidDel="00000000" w:rsidP="00000000" w:rsidRDefault="00000000" w:rsidRPr="00000000" w14:paraId="0000000C">
      <w:pPr>
        <w:keepNext w:val="1"/>
        <w:spacing w:after="120" w:before="360" w:lineRule="auto"/>
        <w:rPr/>
      </w:pPr>
      <w:r w:rsidDel="00000000" w:rsidR="00000000" w:rsidRPr="00000000">
        <w:rPr>
          <w:b w:val="1"/>
          <w:bCs w:val="1"/>
          <w:color w:val="1b365d"/>
          <w:sz w:val="28"/>
          <w:szCs w:val="28"/>
          <w:rtl w:val="0"/>
        </w:rPr>
        <w:t xml:space="preserve">SECTION 2 | COMPREHENSIVE ASSESSMENT FINDINGS LEDGER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table below details the technical exploits verified during the testing engagement. Each finding is categorized using the system's standardized Prompt-Injection Triage Rubric and mapped to its respective layer.</w:t>
      </w:r>
    </w:p>
    <w:tbl>
      <w:tblPr>
        <w:tblStyle w:val="Table2"/>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Mar>
              <w:top w:w="120.0" w:type="dxa"/>
              <w:left w:w="100.0" w:type="dxa"/>
              <w:bottom w:w="120.0" w:type="dxa"/>
              <w:right w:w="100.0" w:type="dxa"/>
            </w:tcMar>
          </w:tcPr>
          <w:p w:rsidR="00000000" w:rsidDel="00000000" w:rsidP="00000000" w:rsidRDefault="00000000" w:rsidRPr="00000000" w14:paraId="0000000E">
            <w:pPr>
              <w:spacing w:after="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0F">
            <w:pPr>
              <w:spacing w:after="0" w:lineRule="auto"/>
              <w:rPr/>
            </w:pPr>
            <w:r w:rsidDel="00000000" w:rsidR="00000000" w:rsidRPr="00000000">
              <w:rPr>
                <w:b w:val="1"/>
                <w:bCs w:val="1"/>
                <w:color w:val="ffffff"/>
                <w:sz w:val="19"/>
                <w:szCs w:val="19"/>
                <w:rtl w:val="0"/>
              </w:rPr>
              <w:t xml:space="preserve">Vulnerability Finding / Exploit Scenario</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10">
            <w:pPr>
              <w:spacing w:after="0" w:lineRule="auto"/>
              <w:rPr/>
            </w:pPr>
            <w:r w:rsidDel="00000000" w:rsidR="00000000" w:rsidRPr="00000000">
              <w:rPr>
                <w:b w:val="1"/>
                <w:bCs w:val="1"/>
                <w:color w:val="ffffff"/>
                <w:sz w:val="19"/>
                <w:szCs w:val="19"/>
                <w:rtl w:val="0"/>
              </w:rPr>
              <w:t xml:space="preserve">Triage Severity</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11">
            <w:pPr>
              <w:spacing w:after="0" w:lineRule="auto"/>
              <w:rPr/>
            </w:pPr>
            <w:r w:rsidDel="00000000" w:rsidR="00000000" w:rsidRPr="00000000">
              <w:rPr>
                <w:b w:val="1"/>
                <w:bCs w:val="1"/>
                <w:color w:val="ffffff"/>
                <w:sz w:val="19"/>
                <w:szCs w:val="19"/>
                <w:rtl w:val="0"/>
              </w:rPr>
              <w:t xml:space="preserve">Exploited Attack Surface Baseline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spacing w:after="0" w:lineRule="auto"/>
              <w:rPr/>
            </w:pPr>
            <w:r w:rsidDel="00000000" w:rsidR="00000000" w:rsidRPr="00000000">
              <w:rPr>
                <w:b w:val="1"/>
                <w:bCs w:val="1"/>
                <w:color w:val="1b365d"/>
                <w:sz w:val="18"/>
                <w:szCs w:val="18"/>
                <w:rtl w:val="0"/>
              </w:rPr>
              <w:t xml:space="preserve">ADV-01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spacing w:after="0" w:lineRule="auto"/>
              <w:rPr/>
            </w:pPr>
            <w:r w:rsidDel="00000000" w:rsidR="00000000" w:rsidRPr="00000000">
              <w:rPr>
                <w:sz w:val="18"/>
                <w:szCs w:val="18"/>
                <w:rtl w:val="0"/>
              </w:rPr>
              <w:t xml:space="preserve">Direct Prompt Injection via Obfuscated Medical Narrative Strings. Appending token-splitting characters completely bypassed basic web gateway filters, allowing system instruction overrides.</w:t>
            </w:r>
            <w:r w:rsidDel="00000000" w:rsidR="00000000" w:rsidRPr="00000000">
              <w:rPr>
                <w:rtl w:val="0"/>
              </w:rPr>
            </w:r>
          </w:p>
        </w:tc>
        <w:tc>
          <w:tcPr>
            <w:shd w:fill="ffeb9c" w:val="clear"/>
            <w:tcMar>
              <w:top w:w="100.0" w:type="dxa"/>
              <w:left w:w="100.0" w:type="dxa"/>
              <w:bottom w:w="100.0" w:type="dxa"/>
              <w:right w:w="100.0" w:type="dxa"/>
            </w:tcMar>
          </w:tcPr>
          <w:p w:rsidR="00000000" w:rsidDel="00000000" w:rsidP="00000000" w:rsidRDefault="00000000" w:rsidRPr="00000000" w14:paraId="00000014">
            <w:pPr>
              <w:spacing w:after="0" w:lineRule="auto"/>
              <w:rPr/>
            </w:pPr>
            <w:r w:rsidDel="00000000" w:rsidR="00000000" w:rsidRPr="00000000">
              <w:rPr>
                <w:b w:val="1"/>
                <w:bCs w:val="1"/>
                <w:color w:val="9c6500"/>
                <w:sz w:val="18"/>
                <w:szCs w:val="18"/>
                <w:rtl w:val="0"/>
              </w:rPr>
              <w:t xml:space="preserve">HIGH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the model API endpoint</w:t>
            </w:r>
            <w:r w:rsidDel="00000000" w:rsidR="00000000" w:rsidRPr="00000000">
              <w:rPr>
                <w:rtl w:val="0"/>
              </w:rPr>
            </w:r>
          </w:p>
        </w:tc>
      </w:tr>
      <w:tr>
        <w:trPr>
          <w:cantSplit w:val="0"/>
          <w:tblHeader w:val="0"/>
        </w:trPr>
        <w:tc>
          <w:tcPr>
            <w:shd w:fill="f9fafb" w:val="clear"/>
            <w:tcMar>
              <w:top w:w="100.0" w:type="dxa"/>
              <w:left w:w="100.0" w:type="dxa"/>
              <w:bottom w:w="100.0" w:type="dxa"/>
              <w:right w:w="100.0" w:type="dxa"/>
            </w:tcMar>
          </w:tcPr>
          <w:p w:rsidR="00000000" w:rsidDel="00000000" w:rsidP="00000000" w:rsidRDefault="00000000" w:rsidRPr="00000000" w14:paraId="00000016">
            <w:pPr>
              <w:spacing w:after="0" w:lineRule="auto"/>
              <w:rPr/>
            </w:pPr>
            <w:r w:rsidDel="00000000" w:rsidR="00000000" w:rsidRPr="00000000">
              <w:rPr>
                <w:b w:val="1"/>
                <w:bCs w:val="1"/>
                <w:color w:val="1b365d"/>
                <w:sz w:val="18"/>
                <w:szCs w:val="18"/>
                <w:rtl w:val="0"/>
              </w:rPr>
              <w:t xml:space="preserve">ADV-02</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17">
            <w:pPr>
              <w:spacing w:after="0" w:lineRule="auto"/>
              <w:rPr/>
            </w:pPr>
            <w:r w:rsidDel="00000000" w:rsidR="00000000" w:rsidRPr="00000000">
              <w:rPr>
                <w:sz w:val="18"/>
                <w:szCs w:val="18"/>
                <w:rtl w:val="0"/>
              </w:rPr>
              <w:t xml:space="preserve">Indirect Prompt Injection via Vector DB / RAG Ingestion Channels. Injecting adversarial formatting scripts into historical claims repositories forced the attention window to leak the system prompt.</w:t>
            </w:r>
            <w:r w:rsidDel="00000000" w:rsidR="00000000" w:rsidRPr="00000000">
              <w:rPr>
                <w:rtl w:val="0"/>
              </w:rPr>
            </w:r>
          </w:p>
        </w:tc>
        <w:tc>
          <w:tcPr>
            <w:shd w:fill="e2e3e5" w:val="clear"/>
            <w:tcMar>
              <w:top w:w="100.0" w:type="dxa"/>
              <w:left w:w="100.0" w:type="dxa"/>
              <w:bottom w:w="100.0" w:type="dxa"/>
              <w:right w:w="100.0" w:type="dxa"/>
            </w:tcMa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MEDIUM</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the training data pipeline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spacing w:after="0" w:lineRule="auto"/>
              <w:rPr/>
            </w:pPr>
            <w:r w:rsidDel="00000000" w:rsidR="00000000" w:rsidRPr="00000000">
              <w:rPr>
                <w:b w:val="1"/>
                <w:bCs w:val="1"/>
                <w:color w:val="1b365d"/>
                <w:sz w:val="18"/>
                <w:szCs w:val="18"/>
                <w:rtl w:val="0"/>
              </w:rPr>
              <w:t xml:space="preserve">ADV-03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spacing w:after="0" w:lineRule="auto"/>
              <w:rPr/>
            </w:pPr>
            <w:r w:rsidDel="00000000" w:rsidR="00000000" w:rsidRPr="00000000">
              <w:rPr>
                <w:sz w:val="18"/>
                <w:szCs w:val="18"/>
                <w:rtl w:val="0"/>
              </w:rPr>
              <w:t xml:space="preserve">Output Token Hijacking &amp; Queue Redirection Workflow Bypass. Exploiting specific token logit distributions forced the output layer to append standard processing routing tags to high-risk files, successfully bypassing human review triggers.</w:t>
            </w:r>
            <w:r w:rsidDel="00000000" w:rsidR="00000000" w:rsidRPr="00000000">
              <w:rPr>
                <w:rtl w:val="0"/>
              </w:rPr>
            </w:r>
          </w:p>
        </w:tc>
        <w:tc>
          <w:tcPr>
            <w:shd w:fill="ffc7ce" w:val="clear"/>
            <w:tcMar>
              <w:top w:w="100.0" w:type="dxa"/>
              <w:left w:w="100.0" w:type="dxa"/>
              <w:bottom w:w="100.0" w:type="dxa"/>
              <w:right w:w="100.0" w:type="dxa"/>
            </w:tcMar>
          </w:tcPr>
          <w:p w:rsidR="00000000" w:rsidDel="00000000" w:rsidP="00000000" w:rsidRDefault="00000000" w:rsidRPr="00000000" w14:paraId="0000001C">
            <w:pPr>
              <w:spacing w:after="0" w:lineRule="auto"/>
              <w:rPr/>
            </w:pPr>
            <w:r w:rsidDel="00000000" w:rsidR="00000000" w:rsidRPr="00000000">
              <w:rPr>
                <w:b w:val="1"/>
                <w:bCs w:val="1"/>
                <w:color w:val="9c0006"/>
                <w:sz w:val="18"/>
                <w:szCs w:val="18"/>
                <w:rtl w:val="0"/>
              </w:rPr>
              <w:t xml:space="preserve">CRITICAL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the inference output layer</w:t>
            </w:r>
            <w:r w:rsidDel="00000000" w:rsidR="00000000" w:rsidRPr="00000000">
              <w:rPr>
                <w:rtl w:val="0"/>
              </w:rPr>
            </w:r>
          </w:p>
        </w:tc>
      </w:tr>
    </w:tbl>
    <w:p w:rsidR="00000000" w:rsidDel="00000000" w:rsidP="00000000" w:rsidRDefault="00000000" w:rsidRPr="00000000" w14:paraId="0000001E">
      <w:pPr>
        <w:spacing w:after="200" w:lineRule="auto"/>
        <w:rPr/>
      </w:pPr>
      <w:r w:rsidDel="00000000" w:rsidR="00000000" w:rsidRPr="00000000">
        <w:rPr>
          <w:rtl w:val="0"/>
        </w:rPr>
      </w:r>
    </w:p>
    <w:p w:rsidR="00000000" w:rsidDel="00000000" w:rsidP="00000000" w:rsidRDefault="00000000" w:rsidRPr="00000000" w14:paraId="0000001F">
      <w:pPr>
        <w:keepNext w:val="1"/>
        <w:spacing w:after="120" w:before="360" w:lineRule="auto"/>
        <w:rPr/>
      </w:pPr>
      <w:r w:rsidDel="00000000" w:rsidR="00000000" w:rsidRPr="00000000">
        <w:rPr>
          <w:b w:val="1"/>
          <w:bCs w:val="1"/>
          <w:color w:val="1b365d"/>
          <w:sz w:val="28"/>
          <w:szCs w:val="28"/>
          <w:rtl w:val="0"/>
        </w:rPr>
        <w:t xml:space="preserve">SECTION 3 | TOP TWO STRATEGIC HARDENING PRIORITIES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maximize security readiness and prevent deployment operation disruption, the AI Governance and Security Operations steering groups have isolated the top two hardening priorities from testing results. Each priority is tied back to a specific attack surface mapped during structural model evaluations, ensuring exact consistency with downstream operational telemetry reviews.</w:t>
      </w:r>
    </w:p>
    <w:p w:rsidR="00000000" w:rsidDel="00000000" w:rsidP="00000000" w:rsidRDefault="00000000" w:rsidRPr="00000000" w14:paraId="00000021">
      <w:pPr>
        <w:keepNext w:val="1"/>
        <w:spacing w:after="80" w:before="240" w:lineRule="auto"/>
        <w:rPr/>
      </w:pPr>
      <w:r w:rsidDel="00000000" w:rsidR="00000000" w:rsidRPr="00000000">
        <w:rPr>
          <w:b w:val="1"/>
          <w:bCs w:val="1"/>
          <w:color w:val="5c768d"/>
          <w:sz w:val="24"/>
          <w:szCs w:val="24"/>
          <w:rtl w:val="0"/>
        </w:rPr>
        <w:t xml:space="preserve">Hardening Priority 1: Automated Output Token Schema Sanitization &amp; Structural Regex Validation</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Target Implicated Attack Surface: </w:t>
      </w:r>
      <w:r w:rsidDel="00000000" w:rsidR="00000000" w:rsidRPr="00000000">
        <w:rPr>
          <w:b w:val="1"/>
          <w:bCs w:val="1"/>
          <w:color w:val="1b365d"/>
          <w:rtl w:val="0"/>
        </w:rPr>
        <w:t xml:space="preserve">the inference output layer</w:t>
        <w:br w:type="textWrapping"/>
      </w:r>
      <w:r w:rsidDel="00000000" w:rsidR="00000000" w:rsidRPr="00000000">
        <w:rPr>
          <w:rtl w:val="0"/>
        </w:rPr>
        <w:t xml:space="preserve">Testing verified that the system's most severe operational defect lies at the decoding boundary. Adversarial actors exploiting the inference output layer can trick the LLM into generating unvalidated response formatting tokens. This allows them to inject malicious queue-routing commands, completely bypassing the human-in-the-loop review trigger for high-risk claims. Remediation requires deploying strict pydantic output data contracts and a hard structural regex validation layer. This ensures that any token sequence attempting to overwrite internal claims-routing tags is dropped before reaching downstream adjudication queues.</w:t>
      </w:r>
    </w:p>
    <w:p w:rsidR="00000000" w:rsidDel="00000000" w:rsidP="00000000" w:rsidRDefault="00000000" w:rsidRPr="00000000" w14:paraId="00000023">
      <w:pPr>
        <w:keepNext w:val="1"/>
        <w:spacing w:after="80" w:before="240" w:lineRule="auto"/>
        <w:rPr/>
      </w:pPr>
      <w:r w:rsidDel="00000000" w:rsidR="00000000" w:rsidRPr="00000000">
        <w:rPr>
          <w:b w:val="1"/>
          <w:bCs w:val="1"/>
          <w:color w:val="5c768d"/>
          <w:sz w:val="24"/>
          <w:szCs w:val="24"/>
          <w:rtl w:val="0"/>
        </w:rPr>
        <w:t xml:space="preserve">Hardening Priority 2: LLM Input Guardrails &amp; Token-Splitting Heuristic Input Validation Filters</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Target Implicated Attack Surface: </w:t>
      </w:r>
      <w:r w:rsidDel="00000000" w:rsidR="00000000" w:rsidRPr="00000000">
        <w:rPr>
          <w:b w:val="1"/>
          <w:bCs w:val="1"/>
          <w:color w:val="1b365d"/>
          <w:rtl w:val="0"/>
        </w:rPr>
        <w:t xml:space="preserve">the model API endpoint</w:t>
        <w:br w:type="textWrapping"/>
      </w:r>
      <w:r w:rsidDel="00000000" w:rsidR="00000000" w:rsidRPr="00000000">
        <w:rPr>
          <w:rtl w:val="0"/>
        </w:rPr>
        <w:t xml:space="preserve">Red-team engineers successfully circumvented basic perimeter application firewalls by introducing token-splitting and character-obfuscation strings directly into patient narrative inputs. When processed at the model API endpoint, these obfuscated strings bypass traditional signature-matching systems, leading to prompt injection. This exposes the core system instructions to extraction or hijack. To resolve this, the engineering team must implement an input guardrail layer. This includes token length constraints, unicode normalization, and a semantic pre-classification model to identify and drop injection patterns before they reach the transformer tokenization layers.</w:t>
      </w:r>
    </w:p>
    <w:p w:rsidR="00000000" w:rsidDel="00000000" w:rsidP="00000000" w:rsidRDefault="00000000" w:rsidRPr="00000000" w14:paraId="00000025">
      <w:pPr>
        <w:keepNext w:val="1"/>
        <w:spacing w:after="120" w:before="360" w:lineRule="auto"/>
        <w:rPr/>
      </w:pPr>
      <w:r w:rsidDel="00000000" w:rsidR="00000000" w:rsidRPr="00000000">
        <w:rPr>
          <w:b w:val="1"/>
          <w:bCs w:val="1"/>
          <w:color w:val="1b365d"/>
          <w:sz w:val="28"/>
          <w:szCs w:val="28"/>
          <w:rtl w:val="0"/>
        </w:rPr>
        <w:t xml:space="preserve">SECTION 4 | SECURITY OPERATIONS TELEMETRY &amp; RISK LEDGER TRACEABILITY</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Mandatory Compliance Integration Mapping: </w:t>
        <w:br w:type="textWrapping"/>
      </w:r>
      <w:r w:rsidDel="00000000" w:rsidR="00000000" w:rsidRPr="00000000">
        <w:rPr>
          <w:rtl w:val="0"/>
        </w:rPr>
        <w:t xml:space="preserve">Pursuant to corporate AI governance guidelines, the attack surfaces and findings documented in this report must maintain strict cross-functional consistency. The two primary attack surfaces identified here—the inference output layer and the model API endpoint—must map directly to the active telemetry logs monitored in Phase 4 via Microsoft Defender for Cloud alerts. Furthermore, both security priorities must be transferred into the definitive Risk Disposition table as open vulnerabilities. They must be assigned a role title owner and a contractually compliant target close date to pass the upcoming formal regulatory readiness audit.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8srJzm0vu33J16++EKcAAkxK4A==">CgMxLjA4AHIhMUQ0ZTN6TnZjaDR2TGRFaHBYVi1tdU5LSmdhRHIwUXVD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