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0"/>
          <w:szCs w:val="30"/>
        </w:rPr>
        <w:t xml:space="preserve">EMERGENCY ROLLBACK &amp; DEPLOYMENT RECOVERY PLAN</w:t>
      </w:r>
    </w:p>
    <w:p>
      <w:pPr>
        <w:spacing w:after="240"/>
      </w:pPr>
      <w:r>
        <w:rPr>
          <w:rFonts w:ascii="Arial" w:cs="Arial" w:eastAsia="Arial" w:hAnsi="Arial"/>
          <w:color w:val="2E5496"/>
          <w:sz w:val="22"/>
          <w:szCs w:val="22"/>
        </w:rPr>
        <w:t xml:space="preserve">Insurance Claims Triage AI (ClaimsTriage) v2.4 — CVE-2025-XXXX remediation contingency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Controller</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Meridian Health Partners Ltd.</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Document Reference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MHP-OPSC-RECOVERY-v2  (supersedes MHP-OPSC-RECOVERY-v1)</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Active CVE Reference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CVE-2025-XXXX — NeuralCore v3.1.x–v3.4.x, gradient descent optimizer, CVSS 8.6 High, TRAINING-TIME exposure</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Target Rollback Version</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ClaimsTriage v2.3, compiled on NeuralCore v2.9.1 — outside the affected version range</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Expected Time to Rollback</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45 minutes, containerised cluster redeployment</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Named Decision Owner</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Director of AI Production Infrastructure Operations</w:t>
            </w:r>
          </w:p>
        </w:tc>
      </w:tr>
      <w:tr>
        <w:tc>
          <w:tcPr>
            <w:tcW w:type="dxa" w:w="26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Standing</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CONTINGENCY, not the primary remediation path. The primary path is the hybrid strategy in MHP-AI-GOV-2026-PKG01-CVE.</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Classification</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Internal — Restricted</w:t>
            </w:r>
          </w:p>
        </w:tc>
      </w:tr>
    </w:tbl>
    <w:p>
      <w:pPr>
        <w:pStyle w:val="Heading1"/>
        <w:keepNext/>
        <w:spacing w:after="160" w:before="320"/>
      </w:pPr>
      <w:r>
        <w:rPr>
          <w:rFonts w:ascii="Arial" w:cs="Arial" w:eastAsia="Arial" w:hAnsi="Arial"/>
          <w:b/>
          <w:bCs/>
          <w:color w:val="1F3864"/>
          <w:sz w:val="26"/>
          <w:szCs w:val="26"/>
        </w:rPr>
        <w:t xml:space="preserve">Section 1 — Purpose and Standing</w:t>
      </w:r>
    </w:p>
    <w:p>
      <w:pPr>
        <w:spacing w:after="110" w:before="0"/>
      </w:pPr>
      <w:r>
        <w:rPr>
          <w:rFonts w:ascii="Arial" w:cs="Arial" w:eastAsia="Arial" w:hAnsi="Arial"/>
          <w:sz w:val="20"/>
          <w:szCs w:val="20"/>
        </w:rPr>
        <w:t xml:space="preserve">This plan sets out the deterministic sequence by which the Insurance Claims Triage AI is reverted to a certified secure baseline. It exists to satisfy the rollback-conformance requirement of the CVE response decision, and it is deliberately scoped as a contingency.</w:t>
      </w:r>
    </w:p>
    <w:p>
      <w:pPr>
        <w:spacing w:after="110" w:before="0"/>
      </w:pPr>
      <w:r>
        <w:rPr>
          <w:rFonts w:ascii="Arial" w:cs="Arial" w:eastAsia="Arial" w:hAnsi="Arial"/>
          <w:sz w:val="20"/>
          <w:szCs w:val="20"/>
        </w:rPr>
        <w:t xml:space="preserve">Rollback was evaluated as a primary response to CVE-2025-XXXX and rejected. ClaimsTriage v2.3 operates at 90.4% True Positive Rate against a contractual floor of 91.0% — an immediate breach on execution — and produces 159,600 additional claims per day requiring manual review. Over a 21-day retrain window that is 3.35 million backlogged claims, well beyond manual capacity.</w:t>
      </w:r>
    </w:p>
    <w:p>
      <w:pPr>
        <w:spacing w:after="110" w:before="0"/>
      </w:pPr>
      <w:r>
        <w:rPr>
          <w:rFonts w:ascii="Arial" w:cs="Arial" w:eastAsia="Arial" w:hAnsi="Arial"/>
          <w:b/>
          <w:bCs/>
          <w:sz w:val="20"/>
          <w:szCs w:val="20"/>
        </w:rPr>
        <w:t xml:space="preserve">Rejected as the primary path does not mean rejected. The plan remains live and trigger-armed throughout the retrain window, because the exposure it guards against is real and unproven in both directions: Meridian cannot demonstrate the production model is backdoored, and cannot demonstrate it is clean.</w:t>
      </w:r>
    </w:p>
    <w:p>
      <w:pPr>
        <w:pStyle w:val="Heading2"/>
        <w:keepNext/>
        <w:spacing w:after="120" w:before="260"/>
      </w:pPr>
      <w:r>
        <w:rPr>
          <w:rFonts w:ascii="Arial" w:cs="Arial" w:eastAsia="Arial" w:hAnsi="Arial"/>
          <w:b/>
          <w:bCs/>
          <w:color w:val="2E5496"/>
          <w:sz w:val="22"/>
          <w:szCs w:val="22"/>
        </w:rPr>
        <w:t xml:space="preserve">1.1  Version supersession and what 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FBE4E4" w:color="auto" w:val="clear"/>
            <w:tcMar>
              <w:top w:type="dxa" w:w="70"/>
              <w:left w:type="dxa" w:w="110"/>
              <w:bottom w:type="dxa" w:w="70"/>
              <w:right w:type="dxa" w:w="110"/>
            </w:tcMar>
          </w:tcPr>
          <w:p>
            <w:pPr>
              <w:spacing w:after="0"/>
            </w:pPr>
            <w:r>
              <w:rPr>
                <w:rFonts w:ascii="Arial" w:cs="Arial" w:eastAsia="Arial" w:hAnsi="Arial"/>
                <w:b/>
                <w:bCs/>
                <w:color w:val="C00000"/>
                <w:sz w:val="18"/>
                <w:szCs w:val="18"/>
              </w:rPr>
              <w:t xml:space="preserve">CORRECTIONS TO v1</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The previous revision of this plan was written against CVE-2026-38291 — a tokenizer parser vulnerability with an inference-time exposure. That advisory is not applicable to this deployment and has been withdrawn from the compliance package. This revision addresses CVE-2025-XXXX.</w:t>
            </w:r>
          </w:p>
          <w:p>
            <w:pPr>
              <w:spacing w:after="70"/>
            </w:pPr>
            <w:r>
              <w:rPr>
                <w:rFonts w:ascii="Arial" w:cs="Arial" w:eastAsia="Arial" w:hAnsi="Arial"/>
                <w:sz w:val="18"/>
                <w:szCs w:val="18"/>
              </w:rPr>
              <w:t xml:space="preserve">Target version corrected from 'v1.4.2-stable' to ClaimsTriage v2.3. There is no v1.4.2 in this deployment's version history.</w:t>
            </w:r>
          </w:p>
          <w:p>
            <w:pPr>
              <w:spacing w:after="70"/>
            </w:pPr>
            <w:r>
              <w:rPr>
                <w:rFonts w:ascii="Arial" w:cs="Arial" w:eastAsia="Arial" w:hAnsi="Arial"/>
                <w:sz w:val="18"/>
                <w:szCs w:val="18"/>
              </w:rPr>
              <w:t xml:space="preserve">Recovery SLA corrected from 12 minutes to 45 minutes, matching the containerised cluster redeployment time recorded in the scenario package.</w:t>
            </w:r>
          </w:p>
          <w:p>
            <w:pPr>
              <w:spacing w:after="70"/>
            </w:pPr>
            <w:r>
              <w:rPr>
                <w:rFonts w:ascii="Arial" w:cs="Arial" w:eastAsia="Arial" w:hAnsi="Arial"/>
                <w:sz w:val="18"/>
                <w:szCs w:val="18"/>
              </w:rPr>
              <w:t xml:space="preserve">Accuracy trigger corrected from 92.5% to 89.5% rolling 24-hour TPR. THE 92.5% THRESHOLD WAS SELF-DEFEATING: the rollback target itself operates at 90.4%, so executing the rollback would immediately re-satisfy the condition that mandates rolling back. A rollback plan whose destination trips its own trigger is not a plan.</w:t>
            </w:r>
          </w:p>
          <w:p>
            <w:pPr>
              <w:spacing w:after="0"/>
            </w:pPr>
            <w:r>
              <w:rPr>
                <w:rFonts w:ascii="Arial" w:cs="Arial" w:eastAsia="Arial" w:hAnsi="Arial"/>
                <w:sz w:val="18"/>
                <w:szCs w:val="18"/>
              </w:rPr>
              <w:t xml:space="preserve">Decision owner corrected from Lead AI Infrastructure Engineer to Director of AI Production Infrastructure Operations, matching the scenario package.</w:t>
            </w:r>
          </w:p>
        </w:tc>
      </w:tr>
    </w:tbl>
    <w:p>
      <w:pPr>
        <w:spacing w:after="120" w:before="0"/>
      </w:pPr>
      <w:r>
        <w:rPr>
          <w:rFonts w:ascii="Arial" w:cs="Arial" w:eastAsia="Arial" w:hAnsi="Arial"/>
          <w:sz w:val="20"/>
          <w:szCs w:val="20"/>
        </w:rPr>
        <w:t xml:space="preserve"/>
      </w:r>
    </w:p>
    <w:p>
      <w:pPr>
        <w:pStyle w:val="Heading1"/>
        <w:keepNext/>
        <w:spacing w:after="160" w:before="320"/>
      </w:pPr>
      <w:r>
        <w:rPr>
          <w:rFonts w:ascii="Arial" w:cs="Arial" w:eastAsia="Arial" w:hAnsi="Arial"/>
          <w:b/>
          <w:bCs/>
          <w:color w:val="1F3864"/>
          <w:sz w:val="26"/>
          <w:szCs w:val="26"/>
        </w:rPr>
        <w:t xml:space="preserve">Section 2 — Trigger Conditions</w:t>
      </w:r>
    </w:p>
    <w:p>
      <w:pPr>
        <w:spacing w:after="110" w:before="0"/>
      </w:pPr>
      <w:r>
        <w:rPr>
          <w:rFonts w:ascii="Arial" w:cs="Arial" w:eastAsia="Arial" w:hAnsi="Arial"/>
          <w:sz w:val="20"/>
          <w:szCs w:val="20"/>
        </w:rPr>
        <w:t xml:space="preserve">Rollback is initiated on any one of the following. Two are inherited from the scenario package; the third is added, and is the only trigger capable of detecting the specific harm this CVE creates.</w:t>
      </w:r>
    </w:p>
    <w:p>
      <w:pPr>
        <w:pStyle w:val="Heading2"/>
        <w:keepNext/>
        <w:spacing w:after="120" w:before="260"/>
      </w:pPr>
      <w:r>
        <w:rPr>
          <w:rFonts w:ascii="Arial" w:cs="Arial" w:eastAsia="Arial" w:hAnsi="Arial"/>
          <w:b/>
          <w:bCs/>
          <w:color w:val="2E5496"/>
          <w:sz w:val="22"/>
          <w:szCs w:val="22"/>
        </w:rPr>
        <w:t xml:space="preserve">Trigger 1 — Operational accuracy decay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Condition</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Rolling 24-hour True Positive Rate falls below 89.5%, observed within a 1-hour monitoring window on automated system accuracy logs.</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Rationale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Set below the 90.4% performance of the rollback target so that reverting does not immediately re-trigger. The gap between 89.5% and the 91.0% contractual floor is the deliberate band in which the deployment is under-performing but rollback would make matters worse.</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Detection Owner</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Director of AI Production Infrastructure Operations</w:t>
            </w:r>
          </w:p>
        </w:tc>
      </w:tr>
    </w:tbl>
    <w:p>
      <w:pPr>
        <w:pStyle w:val="Heading2"/>
        <w:keepNext/>
        <w:spacing w:after="120" w:before="260"/>
      </w:pPr>
      <w:r>
        <w:rPr>
          <w:rFonts w:ascii="Arial" w:cs="Arial" w:eastAsia="Arial" w:hAnsi="Arial"/>
          <w:b/>
          <w:bCs/>
          <w:color w:val="2E5496"/>
          <w:sz w:val="22"/>
          <w:szCs w:val="22"/>
        </w:rPr>
        <w:t xml:space="preserve">Trigger 2 — Confirmed security exploitation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Condition</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Active exploitation of the training-time backdoor confirmed by log matches on production endpoints, verified by the SecOps Incident Response team.</w:t>
            </w:r>
          </w:p>
        </w:tc>
      </w:tr>
      <w:tr>
        <w:tc>
          <w:tcPr>
            <w:tcW w:type="dxa" w:w="26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Rationale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Inherited from the scenario package. Note its practical limitation, stated rather than assumed: confirmation requires knowing what to match on, and the trigger pattern for this vulnerability is attacker-chosen and unpublished. This trigger will fire only if the attacker's pattern becomes known — through an updated advisory, an industry indicator, or a claim outcome investigated for other reasons. It should not be relied on as the primary detection route.</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Detection Owner</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SecOps Incident Commander</w:t>
            </w:r>
          </w:p>
        </w:tc>
      </w:tr>
    </w:tbl>
    <w:p>
      <w:pPr>
        <w:pStyle w:val="Heading2"/>
        <w:keepNext/>
        <w:spacing w:after="120" w:before="260"/>
      </w:pPr>
      <w:r>
        <w:rPr>
          <w:rFonts w:ascii="Arial" w:cs="Arial" w:eastAsia="Arial" w:hAnsi="Arial"/>
          <w:b/>
          <w:bCs/>
          <w:color w:val="2E5496"/>
          <w:sz w:val="22"/>
          <w:szCs w:val="22"/>
        </w:rPr>
        <w:t xml:space="preserve">Trigger 3 — Shadow comparator divergence  ·  ADDED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Condition</w:t>
            </w:r>
          </w:p>
        </w:tc>
        <w:tc>
          <w:tcPr>
            <w:tcW w:type="dxa" w:w="7480"/>
            <w:tcMar>
              <w:top w:type="dxa" w:w="70"/>
              <w:left w:type="dxa" w:w="110"/>
              <w:bottom w:type="dxa" w:w="70"/>
              <w:right w:type="dxa" w:w="110"/>
            </w:tcMar>
          </w:tcPr>
          <w:p>
            <w:pPr>
              <w:spacing w:after="0"/>
            </w:pPr>
            <w:r>
              <w:rPr>
                <w:rFonts w:ascii="Arial" w:cs="Arial" w:eastAsia="Arial" w:hAnsi="Arial"/>
                <w:b/>
                <w:bCs/>
                <w:sz w:val="18"/>
                <w:szCs w:val="18"/>
              </w:rPr>
              <w:t xml:space="preserve">Statistically significant divergence between ClaimsTriage v2.4 production classifications and ClaimsTriage v2.3 shadow classifications on the same live claims, sustained over a defined observation window.</w:t>
            </w:r>
          </w:p>
        </w:tc>
      </w:tr>
      <w:tr>
        <w:tc>
          <w:tcPr>
            <w:tcW w:type="dxa" w:w="2600"/>
            <w:shd w:fill="E2EFDA" w:color="auto" w:val="clear"/>
            <w:tcMar>
              <w:top w:type="dxa" w:w="70"/>
              <w:left w:type="dxa" w:w="110"/>
              <w:bottom w:type="dxa" w:w="70"/>
              <w:right w:type="dxa" w:w="110"/>
            </w:tcMar>
          </w:tcPr>
          <w:p>
            <w:pPr>
              <w:spacing w:after="0"/>
            </w:pPr>
            <w:r>
              <w:rPr>
                <w:rFonts w:ascii="Arial" w:cs="Arial" w:eastAsia="Arial" w:hAnsi="Arial"/>
                <w:b/>
                <w:bCs/>
                <w:color w:val="1F6B3B"/>
                <w:sz w:val="18"/>
                <w:szCs w:val="18"/>
              </w:rPr>
              <w:t xml:space="preserve">Rationale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This is the trigger that can actually detect a backdoor. v2.3 was compiled on NeuralCore v2.9.1, outside the affected range, so it is clean of this vulnerability. A backdoor manifests as anomalous classification on inputs sharing a hidden attacker-chosen feature — invisible to a filter, because the feature cannot be enumerated, but visible as disagreement between a suspect model and a clean one on identical input. Running v2.3 in shadow costs compute and nothing else: it scores every claim and routes none.</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Why It Was Absent</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The inherited plan had no trigger capable of detecting the harm its own CVE creates. Triggers 1 and 2 detect degraded accuracy and known-signature exploitation. A targeted backdoor produces neither: it misclassifies only the attacker's pattern, leaving aggregate accuracy intact, and it leaves no signature to match. The deployment could have been actively exploited throughout the retrain window without either trigger firing.</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Detection Owner</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Principal AI Architect, with SecOps Incident Response</w:t>
            </w:r>
          </w:p>
        </w:tc>
      </w:tr>
    </w:tbl>
    <w:p>
      <w:pPr>
        <w:pStyle w:val="Heading2"/>
        <w:keepNext/>
        <w:spacing w:after="120" w:before="260"/>
      </w:pPr>
      <w:r>
        <w:rPr>
          <w:rFonts w:ascii="Arial" w:cs="Arial" w:eastAsia="Arial" w:hAnsi="Arial"/>
          <w:b/>
          <w:bCs/>
          <w:color w:val="2E5496"/>
          <w:sz w:val="22"/>
          <w:szCs w:val="22"/>
        </w:rPr>
        <w:t xml:space="preserve">Trigger 4 — Systemic parsing failure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Condition</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The inference output layer fails to generate valid structured output, causing unhandled exceptions in downstream adjudication queues, or median processing latency across tokenization and embedding exceeds 2,500ms per transaction.</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Rationale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Availability protection, inherited. Material because the deployment is the sole screening layer with no parallel fallback: an output-layer failure has no path around it.</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Detection Owner</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Lead AI Infrastructure Engineer</w:t>
            </w:r>
          </w:p>
        </w:tc>
      </w:tr>
    </w:tbl>
    <w:p>
      <w:r>
        <w:br w:type="page"/>
      </w:r>
    </w:p>
    <w:p>
      <w:pPr>
        <w:pStyle w:val="Heading1"/>
        <w:keepNext/>
        <w:spacing w:after="160" w:before="320"/>
      </w:pPr>
      <w:r>
        <w:rPr>
          <w:rFonts w:ascii="Arial" w:cs="Arial" w:eastAsia="Arial" w:hAnsi="Arial"/>
          <w:b/>
          <w:bCs/>
          <w:color w:val="1F3864"/>
          <w:sz w:val="26"/>
          <w:szCs w:val="26"/>
        </w:rPr>
        <w:t xml:space="preserve">Section 3 — Pre-Deployment State Preservation</w:t>
      </w:r>
    </w:p>
    <w:p>
      <w:pPr>
        <w:spacing w:after="110" w:before="0"/>
      </w:pPr>
      <w:r>
        <w:rPr>
          <w:rFonts w:ascii="Arial" w:cs="Arial" w:eastAsia="Arial" w:hAnsi="Arial"/>
          <w:sz w:val="20"/>
          <w:szCs w:val="20"/>
        </w:rPr>
        <w:t xml:space="preserve">Executed before any patching or retraining activity touches the production cluster. Owners: Data Engineering Lead and Lead AI Infrastructure Engineer.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5180"/>
      </w:tblGrid>
      <w:tr>
        <w:trPr>
          <w:tblHeader/>
        </w:trPr>
        <w:tc>
          <w:tcPr>
            <w:tcW w:type="dxa" w:w="7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w:t>
            </w:r>
          </w:p>
        </w:tc>
        <w:tc>
          <w:tcPr>
            <w:tcW w:type="dxa" w:w="42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Action</w:t>
            </w:r>
          </w:p>
        </w:tc>
        <w:tc>
          <w:tcPr>
            <w:tcW w:type="dxa" w:w="51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Note</w:t>
            </w:r>
          </w:p>
        </w:tc>
      </w:tr>
      <w:tr>
        <w:tc>
          <w:tcPr>
            <w:tcW w:type="dxa" w:w="700"/>
            <w:tcMar>
              <w:top w:type="dxa" w:w="70"/>
              <w:left w:type="dxa" w:w="110"/>
              <w:bottom w:type="dxa" w:w="70"/>
              <w:right w:type="dxa" w:w="110"/>
            </w:tcMar>
          </w:tcPr>
          <w:p>
            <w:pPr>
              <w:spacing w:after="0"/>
            </w:pPr>
            <w:r>
              <w:rPr>
                <w:rFonts w:ascii="Arial" w:cs="Arial" w:eastAsia="Arial" w:hAnsi="Arial"/>
                <w:sz w:val="16"/>
                <w:szCs w:val="16"/>
              </w:rPr>
              <w:t xml:space="preserve">1</w:t>
            </w:r>
          </w:p>
        </w:tc>
        <w:tc>
          <w:tcPr>
            <w:tcW w:type="dxa" w:w="4200"/>
            <w:tcMar>
              <w:top w:type="dxa" w:w="70"/>
              <w:left w:type="dxa" w:w="110"/>
              <w:bottom w:type="dxa" w:w="70"/>
              <w:right w:type="dxa" w:w="110"/>
            </w:tcMar>
          </w:tcPr>
          <w:p>
            <w:pPr>
              <w:spacing w:after="0"/>
            </w:pPr>
            <w:r>
              <w:rPr>
                <w:rFonts w:ascii="Arial" w:cs="Arial" w:eastAsia="Arial" w:hAnsi="Arial"/>
                <w:sz w:val="16"/>
                <w:szCs w:val="16"/>
              </w:rPr>
              <w:t xml:space="preserve">Cryptographic container registry hash snapshot of the ClaimsTriage v2.3 image, recorded with its SHA-256 digest in the deployment register.</w:t>
            </w:r>
          </w:p>
        </w:tc>
        <w:tc>
          <w:tcPr>
            <w:tcW w:type="dxa" w:w="5180"/>
            <w:tcMar>
              <w:top w:type="dxa" w:w="70"/>
              <w:left w:type="dxa" w:w="110"/>
              <w:bottom w:type="dxa" w:w="70"/>
              <w:right w:type="dxa" w:w="110"/>
            </w:tcMar>
          </w:tcPr>
          <w:p>
            <w:pPr>
              <w:spacing w:after="0"/>
            </w:pPr>
            <w:r>
              <w:rPr>
                <w:rFonts w:ascii="Arial" w:cs="Arial" w:eastAsia="Arial" w:hAnsi="Arial"/>
                <w:sz w:val="16"/>
                <w:szCs w:val="16"/>
              </w:rPr>
              <w:t xml:space="preserve">v2.3 is the certified fallback anchor. Its digest must be verified against the registry before the window opens, not at the moment of rollback.</w:t>
            </w:r>
          </w:p>
        </w:tc>
      </w:tr>
      <w:tr>
        <w:tc>
          <w:tcPr>
            <w:tcW w:type="dxa" w:w="700"/>
            <w:tcMar>
              <w:top w:type="dxa" w:w="70"/>
              <w:left w:type="dxa" w:w="110"/>
              <w:bottom w:type="dxa" w:w="70"/>
              <w:right w:type="dxa" w:w="110"/>
            </w:tcMar>
          </w:tcPr>
          <w:p>
            <w:pPr>
              <w:spacing w:after="0"/>
            </w:pPr>
            <w:r>
              <w:rPr>
                <w:rFonts w:ascii="Arial" w:cs="Arial" w:eastAsia="Arial" w:hAnsi="Arial"/>
                <w:sz w:val="16"/>
                <w:szCs w:val="16"/>
              </w:rPr>
              <w:t xml:space="preserve">2</w:t>
            </w:r>
          </w:p>
        </w:tc>
        <w:tc>
          <w:tcPr>
            <w:tcW w:type="dxa" w:w="4200"/>
            <w:tcMar>
              <w:top w:type="dxa" w:w="70"/>
              <w:left w:type="dxa" w:w="110"/>
              <w:bottom w:type="dxa" w:w="70"/>
              <w:right w:type="dxa" w:w="110"/>
            </w:tcMar>
          </w:tcPr>
          <w:p>
            <w:pPr>
              <w:spacing w:after="0"/>
            </w:pPr>
            <w:r>
              <w:rPr>
                <w:rFonts w:ascii="Arial" w:cs="Arial" w:eastAsia="Arial" w:hAnsi="Arial"/>
                <w:sz w:val="16"/>
                <w:szCs w:val="16"/>
              </w:rPr>
              <w:t xml:space="preserve">Back up intermediate LLM caching layer schemas and current IAM attribute configurations.</w:t>
            </w:r>
          </w:p>
        </w:tc>
        <w:tc>
          <w:tcPr>
            <w:tcW w:type="dxa" w:w="5180"/>
            <w:tcMar>
              <w:top w:type="dxa" w:w="70"/>
              <w:left w:type="dxa" w:w="110"/>
              <w:bottom w:type="dxa" w:w="70"/>
              <w:right w:type="dxa" w:w="110"/>
            </w:tcMar>
          </w:tcPr>
          <w:p>
            <w:pPr>
              <w:spacing w:after="0"/>
            </w:pPr>
            <w:r>
              <w:rPr>
                <w:rFonts w:ascii="Arial" w:cs="Arial" w:eastAsia="Arial" w:hAnsi="Arial"/>
                <w:sz w:val="16"/>
                <w:szCs w:val="16"/>
              </w:rPr>
              <w:t xml:space="preserve">Cache contents are not preserved — claim transcripts purge at session close per DPIA GAP-01, and preserving them for rollback convenience would breach that control.</w:t>
            </w:r>
          </w:p>
        </w:tc>
      </w:tr>
      <w:tr>
        <w:tc>
          <w:tcPr>
            <w:tcW w:type="dxa" w:w="700"/>
            <w:tcMar>
              <w:top w:type="dxa" w:w="70"/>
              <w:left w:type="dxa" w:w="110"/>
              <w:bottom w:type="dxa" w:w="70"/>
              <w:right w:type="dxa" w:w="110"/>
            </w:tcMar>
          </w:tcPr>
          <w:p>
            <w:pPr>
              <w:spacing w:after="0"/>
            </w:pPr>
            <w:r>
              <w:rPr>
                <w:rFonts w:ascii="Arial" w:cs="Arial" w:eastAsia="Arial" w:hAnsi="Arial"/>
                <w:sz w:val="16"/>
                <w:szCs w:val="16"/>
              </w:rPr>
              <w:t xml:space="preserve">3</w:t>
            </w:r>
          </w:p>
        </w:tc>
        <w:tc>
          <w:tcPr>
            <w:tcW w:type="dxa" w:w="4200"/>
            <w:tcMar>
              <w:top w:type="dxa" w:w="70"/>
              <w:left w:type="dxa" w:w="110"/>
              <w:bottom w:type="dxa" w:w="70"/>
              <w:right w:type="dxa" w:w="110"/>
            </w:tcMar>
          </w:tcPr>
          <w:p>
            <w:pPr>
              <w:spacing w:after="0"/>
            </w:pPr>
            <w:r>
              <w:rPr>
                <w:rFonts w:ascii="Arial" w:cs="Arial" w:eastAsia="Arial" w:hAnsi="Arial"/>
                <w:sz w:val="16"/>
                <w:szCs w:val="16"/>
              </w:rPr>
              <w:t xml:space="preserve">Establish a read-only replication mirror of the active training corpus and RAG document stores.</w:t>
            </w:r>
          </w:p>
        </w:tc>
        <w:tc>
          <w:tcPr>
            <w:tcW w:type="dxa" w:w="5180"/>
            <w:tcMar>
              <w:top w:type="dxa" w:w="70"/>
              <w:left w:type="dxa" w:w="110"/>
              <w:bottom w:type="dxa" w:w="70"/>
              <w:right w:type="dxa" w:w="110"/>
            </w:tcMar>
          </w:tcPr>
          <w:p>
            <w:pPr>
              <w:spacing w:after="0"/>
            </w:pPr>
            <w:r>
              <w:rPr>
                <w:rFonts w:ascii="Arial" w:cs="Arial" w:eastAsia="Arial" w:hAnsi="Arial"/>
                <w:sz w:val="16"/>
                <w:szCs w:val="16"/>
              </w:rPr>
              <w:t xml:space="preserve">Protects against schema corruption during state changes. Note this mirrors the CURRENT corpus, whose integrity is unverified — it is a rollback aid, not a clean-data source. The retrain corpus is assembled separately under cryptographic ingestion hashing (control C3.1).</w:t>
            </w:r>
          </w:p>
        </w:tc>
      </w:tr>
      <w:tr>
        <w:tc>
          <w:tcPr>
            <w:tcW w:type="dxa" w:w="700"/>
            <w:tcMar>
              <w:top w:type="dxa" w:w="70"/>
              <w:left w:type="dxa" w:w="110"/>
              <w:bottom w:type="dxa" w:w="70"/>
              <w:right w:type="dxa" w:w="110"/>
            </w:tcMar>
          </w:tcPr>
          <w:p>
            <w:pPr>
              <w:spacing w:after="0"/>
            </w:pPr>
            <w:r>
              <w:rPr>
                <w:rFonts w:ascii="Arial" w:cs="Arial" w:eastAsia="Arial" w:hAnsi="Arial"/>
                <w:sz w:val="16"/>
                <w:szCs w:val="16"/>
              </w:rPr>
              <w:t xml:space="preserve">4</w:t>
            </w:r>
          </w:p>
        </w:tc>
        <w:tc>
          <w:tcPr>
            <w:tcW w:type="dxa" w:w="4200"/>
            <w:tcMar>
              <w:top w:type="dxa" w:w="70"/>
              <w:left w:type="dxa" w:w="110"/>
              <w:bottom w:type="dxa" w:w="70"/>
              <w:right w:type="dxa" w:w="110"/>
            </w:tcMar>
          </w:tcPr>
          <w:p>
            <w:pPr>
              <w:spacing w:after="0"/>
            </w:pPr>
            <w:r>
              <w:rPr>
                <w:rFonts w:ascii="Arial" w:cs="Arial" w:eastAsia="Arial" w:hAnsi="Arial"/>
                <w:sz w:val="16"/>
                <w:szCs w:val="16"/>
              </w:rPr>
              <w:t xml:space="preserve">Provision and warm the v2.3 shadow deployment.</w:t>
            </w:r>
          </w:p>
        </w:tc>
        <w:tc>
          <w:tcPr>
            <w:tcW w:type="dxa" w:w="5180"/>
            <w:tcMar>
              <w:top w:type="dxa" w:w="70"/>
              <w:left w:type="dxa" w:w="110"/>
              <w:bottom w:type="dxa" w:w="70"/>
              <w:right w:type="dxa" w:w="110"/>
            </w:tcMar>
          </w:tcPr>
          <w:p>
            <w:pPr>
              <w:spacing w:after="0"/>
            </w:pPr>
            <w:r>
              <w:rPr>
                <w:rFonts w:ascii="Arial" w:cs="Arial" w:eastAsia="Arial" w:hAnsi="Arial"/>
                <w:sz w:val="16"/>
                <w:szCs w:val="16"/>
              </w:rPr>
              <w:t xml:space="preserve">Required for Trigger 3. Shadow scoring must be live and baselined before the production model enters the exposure window, otherwise divergence has no reference point.</w:t>
            </w:r>
          </w:p>
        </w:tc>
      </w:tr>
    </w:tbl>
    <w:p>
      <w:pPr>
        <w:pStyle w:val="Heading1"/>
        <w:keepNext/>
        <w:spacing w:after="160" w:before="320"/>
      </w:pPr>
      <w:r>
        <w:rPr>
          <w:rFonts w:ascii="Arial" w:cs="Arial" w:eastAsia="Arial" w:hAnsi="Arial"/>
          <w:b/>
          <w:bCs/>
          <w:color w:val="1F3864"/>
          <w:sz w:val="26"/>
          <w:szCs w:val="26"/>
        </w:rPr>
        <w:t xml:space="preserve">Section 4 — Rollback Execution Runbook</w:t>
      </w:r>
    </w:p>
    <w:p>
      <w:pPr>
        <w:spacing w:after="110" w:before="0"/>
      </w:pPr>
      <w:r>
        <w:rPr>
          <w:rFonts w:ascii="Arial" w:cs="Arial" w:eastAsia="Arial" w:hAnsi="Arial"/>
          <w:sz w:val="20"/>
          <w:szCs w:val="20"/>
        </w:rPr>
        <w:t xml:space="preserve">Maximum 45 minutes from trigger confirmation to restored baseline. Execute in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600"/>
        <w:gridCol w:w="2580"/>
      </w:tblGrid>
      <w:tr>
        <w:trPr>
          <w:tblHeader/>
        </w:trPr>
        <w:tc>
          <w:tcPr>
            <w:tcW w:type="dxa" w:w="7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Step</w:t>
            </w:r>
          </w:p>
        </w:tc>
        <w:tc>
          <w:tcPr>
            <w:tcW w:type="dxa" w:w="22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Target Surface</w:t>
            </w:r>
          </w:p>
        </w:tc>
        <w:tc>
          <w:tcPr>
            <w:tcW w:type="dxa" w:w="46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Action</w:t>
            </w:r>
          </w:p>
        </w:tc>
        <w:tc>
          <w:tcPr>
            <w:tcW w:type="dxa" w:w="25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Owner</w:t>
            </w:r>
          </w:p>
        </w:tc>
      </w:tr>
      <w:tr>
        <w:tc>
          <w:tcPr>
            <w:tcW w:type="dxa" w:w="700"/>
            <w:tcMar>
              <w:top w:type="dxa" w:w="70"/>
              <w:left w:type="dxa" w:w="110"/>
              <w:bottom w:type="dxa" w:w="70"/>
              <w:right w:type="dxa" w:w="110"/>
            </w:tcMar>
          </w:tcPr>
          <w:p>
            <w:pPr>
              <w:spacing w:after="0"/>
            </w:pPr>
            <w:r>
              <w:rPr>
                <w:rFonts w:ascii="Arial" w:cs="Arial" w:eastAsia="Arial" w:hAnsi="Arial"/>
                <w:sz w:val="16"/>
                <w:szCs w:val="16"/>
              </w:rPr>
              <w:t xml:space="preserve">1</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API gateway inbound boundary</w:t>
            </w:r>
          </w:p>
        </w:tc>
        <w:tc>
          <w:tcPr>
            <w:tcW w:type="dxa" w:w="4600"/>
            <w:tcMar>
              <w:top w:type="dxa" w:w="70"/>
              <w:left w:type="dxa" w:w="110"/>
              <w:bottom w:type="dxa" w:w="70"/>
              <w:right w:type="dxa" w:w="110"/>
            </w:tcMar>
          </w:tcPr>
          <w:p>
            <w:pPr>
              <w:spacing w:after="0"/>
            </w:pPr>
            <w:r>
              <w:rPr>
                <w:rFonts w:ascii="Arial" w:cs="Arial" w:eastAsia="Arial" w:hAnsi="Arial"/>
                <w:sz w:val="16"/>
                <w:szCs w:val="16"/>
              </w:rPr>
              <w:t xml:space="preserve">Halt production traffic ingestion to the active container slot; redirect incoming claim payloads to a high-availability staging holding queue. Record the holding-queue depth at cutover — it becomes the first tranche of the manual backlog.</w:t>
            </w:r>
          </w:p>
        </w:tc>
        <w:tc>
          <w:tcPr>
            <w:tcW w:type="dxa" w:w="2580"/>
            <w:tcMar>
              <w:top w:type="dxa" w:w="70"/>
              <w:left w:type="dxa" w:w="110"/>
              <w:bottom w:type="dxa" w:w="70"/>
              <w:right w:type="dxa" w:w="110"/>
            </w:tcMar>
          </w:tcPr>
          <w:p>
            <w:pPr>
              <w:spacing w:after="0"/>
            </w:pPr>
            <w:r>
              <w:rPr>
                <w:rFonts w:ascii="Arial" w:cs="Arial" w:eastAsia="Arial" w:hAnsi="Arial"/>
                <w:sz w:val="16"/>
                <w:szCs w:val="16"/>
              </w:rPr>
              <w:t xml:space="preserve">Lead AI Infrastructure Engineer</w:t>
            </w:r>
          </w:p>
        </w:tc>
      </w:tr>
      <w:tr>
        <w:tc>
          <w:tcPr>
            <w:tcW w:type="dxa" w:w="700"/>
            <w:tcMar>
              <w:top w:type="dxa" w:w="70"/>
              <w:left w:type="dxa" w:w="110"/>
              <w:bottom w:type="dxa" w:w="70"/>
              <w:right w:type="dxa" w:w="110"/>
            </w:tcMar>
          </w:tcPr>
          <w:p>
            <w:pPr>
              <w:spacing w:after="0"/>
            </w:pPr>
            <w:r>
              <w:rPr>
                <w:rFonts w:ascii="Arial" w:cs="Arial" w:eastAsia="Arial" w:hAnsi="Arial"/>
                <w:sz w:val="16"/>
                <w:szCs w:val="16"/>
              </w:rPr>
              <w:t xml:space="preserve">2</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Model serving slot</w:t>
            </w:r>
          </w:p>
        </w:tc>
        <w:tc>
          <w:tcPr>
            <w:tcW w:type="dxa" w:w="4600"/>
            <w:tcMar>
              <w:top w:type="dxa" w:w="70"/>
              <w:left w:type="dxa" w:w="110"/>
              <w:bottom w:type="dxa" w:w="70"/>
              <w:right w:type="dxa" w:w="110"/>
            </w:tcMar>
          </w:tcPr>
          <w:p>
            <w:pPr>
              <w:spacing w:after="0"/>
            </w:pPr>
            <w:r>
              <w:rPr>
                <w:rFonts w:ascii="Arial" w:cs="Arial" w:eastAsia="Arial" w:hAnsi="Arial"/>
                <w:sz w:val="16"/>
                <w:szCs w:val="16"/>
              </w:rPr>
              <w:t xml:space="preserve">Execute cluster rollout reversion to the verified v2.3 image digest recorded at Section 3 step 1. Verify the digest matches before promoting, not after.</w:t>
            </w:r>
          </w:p>
        </w:tc>
        <w:tc>
          <w:tcPr>
            <w:tcW w:type="dxa" w:w="2580"/>
            <w:tcMar>
              <w:top w:type="dxa" w:w="70"/>
              <w:left w:type="dxa" w:w="110"/>
              <w:bottom w:type="dxa" w:w="70"/>
              <w:right w:type="dxa" w:w="110"/>
            </w:tcMar>
          </w:tcPr>
          <w:p>
            <w:pPr>
              <w:spacing w:after="0"/>
            </w:pPr>
            <w:r>
              <w:rPr>
                <w:rFonts w:ascii="Arial" w:cs="Arial" w:eastAsia="Arial" w:hAnsi="Arial"/>
                <w:sz w:val="16"/>
                <w:szCs w:val="16"/>
              </w:rPr>
              <w:t xml:space="preserve">Lead AI Infrastructure Engineer</w:t>
            </w:r>
          </w:p>
        </w:tc>
      </w:tr>
      <w:tr>
        <w:tc>
          <w:tcPr>
            <w:tcW w:type="dxa" w:w="700"/>
            <w:tcMar>
              <w:top w:type="dxa" w:w="70"/>
              <w:left w:type="dxa" w:w="110"/>
              <w:bottom w:type="dxa" w:w="70"/>
              <w:right w:type="dxa" w:w="110"/>
            </w:tcMar>
          </w:tcPr>
          <w:p>
            <w:pPr>
              <w:spacing w:after="0"/>
            </w:pPr>
            <w:r>
              <w:rPr>
                <w:rFonts w:ascii="Arial" w:cs="Arial" w:eastAsia="Arial" w:hAnsi="Arial"/>
                <w:sz w:val="16"/>
                <w:szCs w:val="16"/>
              </w:rPr>
              <w:t xml:space="preserve">3</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Intermediate caching layer</w:t>
            </w:r>
          </w:p>
        </w:tc>
        <w:tc>
          <w:tcPr>
            <w:tcW w:type="dxa" w:w="4600"/>
            <w:tcMar>
              <w:top w:type="dxa" w:w="70"/>
              <w:left w:type="dxa" w:w="110"/>
              <w:bottom w:type="dxa" w:w="70"/>
              <w:right w:type="dxa" w:w="110"/>
            </w:tcMar>
          </w:tcPr>
          <w:p>
            <w:pPr>
              <w:spacing w:after="0"/>
            </w:pPr>
            <w:r>
              <w:rPr>
                <w:rFonts w:ascii="Arial" w:cs="Arial" w:eastAsia="Arial" w:hAnsi="Arial"/>
                <w:sz w:val="16"/>
                <w:szCs w:val="16"/>
              </w:rPr>
              <w:t xml:space="preserve">Flush volatile cache arrays and intermediate vector tables so no content produced by the suspect model is re-ingested by the reverted one.</w:t>
            </w:r>
          </w:p>
        </w:tc>
        <w:tc>
          <w:tcPr>
            <w:tcW w:type="dxa" w:w="2580"/>
            <w:tcMar>
              <w:top w:type="dxa" w:w="70"/>
              <w:left w:type="dxa" w:w="110"/>
              <w:bottom w:type="dxa" w:w="70"/>
              <w:right w:type="dxa" w:w="110"/>
            </w:tcMar>
          </w:tcPr>
          <w:p>
            <w:pPr>
              <w:spacing w:after="0"/>
            </w:pPr>
            <w:r>
              <w:rPr>
                <w:rFonts w:ascii="Arial" w:cs="Arial" w:eastAsia="Arial" w:hAnsi="Arial"/>
                <w:sz w:val="16"/>
                <w:szCs w:val="16"/>
              </w:rPr>
              <w:t xml:space="preserve">Data Engineering Lead</w:t>
            </w:r>
          </w:p>
        </w:tc>
      </w:tr>
      <w:tr>
        <w:tc>
          <w:tcPr>
            <w:tcW w:type="dxa" w:w="700"/>
            <w:tcMar>
              <w:top w:type="dxa" w:w="70"/>
              <w:left w:type="dxa" w:w="110"/>
              <w:bottom w:type="dxa" w:w="70"/>
              <w:right w:type="dxa" w:w="110"/>
            </w:tcMar>
          </w:tcPr>
          <w:p>
            <w:pPr>
              <w:spacing w:after="0"/>
            </w:pPr>
            <w:r>
              <w:rPr>
                <w:rFonts w:ascii="Arial" w:cs="Arial" w:eastAsia="Arial" w:hAnsi="Arial"/>
                <w:sz w:val="16"/>
                <w:szCs w:val="16"/>
              </w:rPr>
              <w:t xml:space="preserve">4</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Inference output layer</w:t>
            </w:r>
          </w:p>
        </w:tc>
        <w:tc>
          <w:tcPr>
            <w:tcW w:type="dxa" w:w="4600"/>
            <w:tcMar>
              <w:top w:type="dxa" w:w="70"/>
              <w:left w:type="dxa" w:w="110"/>
              <w:bottom w:type="dxa" w:w="70"/>
              <w:right w:type="dxa" w:w="110"/>
            </w:tcMar>
          </w:tcPr>
          <w:p>
            <w:pPr>
              <w:spacing w:after="0"/>
            </w:pPr>
            <w:r>
              <w:rPr>
                <w:rFonts w:ascii="Arial" w:cs="Arial" w:eastAsia="Arial" w:hAnsi="Arial"/>
                <w:sz w:val="16"/>
                <w:szCs w:val="16"/>
              </w:rPr>
              <w:t xml:space="preserve">Re-bind API egress slots and hard-validate schema contracts, confirming routing arrays point to v2.3 endpoints. Note: if HP-01 output schema validation has already been deployed, it must be re-applied to the v2.3 serving path — it is a serving-layer control and does not travel with the model image.</w:t>
            </w:r>
          </w:p>
        </w:tc>
        <w:tc>
          <w:tcPr>
            <w:tcW w:type="dxa" w:w="2580"/>
            <w:tcMar>
              <w:top w:type="dxa" w:w="70"/>
              <w:left w:type="dxa" w:w="110"/>
              <w:bottom w:type="dxa" w:w="70"/>
              <w:right w:type="dxa" w:w="110"/>
            </w:tcMar>
          </w:tcPr>
          <w:p>
            <w:pPr>
              <w:spacing w:after="0"/>
            </w:pPr>
            <w:r>
              <w:rPr>
                <w:rFonts w:ascii="Arial" w:cs="Arial" w:eastAsia="Arial" w:hAnsi="Arial"/>
                <w:sz w:val="16"/>
                <w:szCs w:val="16"/>
              </w:rPr>
              <w:t xml:space="preserve">Lead AI Infrastructure Engineer</w:t>
            </w:r>
          </w:p>
        </w:tc>
      </w:tr>
      <w:tr>
        <w:tc>
          <w:tcPr>
            <w:tcW w:type="dxa" w:w="700"/>
            <w:tcMar>
              <w:top w:type="dxa" w:w="70"/>
              <w:left w:type="dxa" w:w="110"/>
              <w:bottom w:type="dxa" w:w="70"/>
              <w:right w:type="dxa" w:w="110"/>
            </w:tcMar>
          </w:tcPr>
          <w:p>
            <w:pPr>
              <w:spacing w:after="0"/>
            </w:pPr>
            <w:r>
              <w:rPr>
                <w:rFonts w:ascii="Arial" w:cs="Arial" w:eastAsia="Arial" w:hAnsi="Arial"/>
                <w:sz w:val="16"/>
                <w:szCs w:val="16"/>
              </w:rPr>
              <w:t xml:space="preserve">5</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Shadow deployment</w:t>
            </w:r>
          </w:p>
        </w:tc>
        <w:tc>
          <w:tcPr>
            <w:tcW w:type="dxa" w:w="4600"/>
            <w:tcMar>
              <w:top w:type="dxa" w:w="70"/>
              <w:left w:type="dxa" w:w="110"/>
              <w:bottom w:type="dxa" w:w="70"/>
              <w:right w:type="dxa" w:w="110"/>
            </w:tcMar>
          </w:tcPr>
          <w:p>
            <w:pPr>
              <w:spacing w:after="0"/>
            </w:pPr>
            <w:r>
              <w:rPr>
                <w:rFonts w:ascii="Arial" w:cs="Arial" w:eastAsia="Arial" w:hAnsi="Arial"/>
                <w:sz w:val="16"/>
                <w:szCs w:val="16"/>
              </w:rPr>
              <w:t xml:space="preserve">Reverse the comparator: v2.4 moves to shadow, v2.3 to production. Do not decommission v2.4 — it is evidence, and it is the subject of any forensic analysis.</w:t>
            </w:r>
          </w:p>
        </w:tc>
        <w:tc>
          <w:tcPr>
            <w:tcW w:type="dxa" w:w="2580"/>
            <w:tcMar>
              <w:top w:type="dxa" w:w="70"/>
              <w:left w:type="dxa" w:w="110"/>
              <w:bottom w:type="dxa" w:w="70"/>
              <w:right w:type="dxa" w:w="110"/>
            </w:tcMar>
          </w:tcPr>
          <w:p>
            <w:pPr>
              <w:spacing w:after="0"/>
            </w:pPr>
            <w:r>
              <w:rPr>
                <w:rFonts w:ascii="Arial" w:cs="Arial" w:eastAsia="Arial" w:hAnsi="Arial"/>
                <w:sz w:val="16"/>
                <w:szCs w:val="16"/>
              </w:rPr>
              <w:t xml:space="preserve">Principal AI Architect</w:t>
            </w:r>
          </w:p>
        </w:tc>
      </w:tr>
      <w:tr>
        <w:tc>
          <w:tcPr>
            <w:tcW w:type="dxa" w:w="700"/>
            <w:tcMar>
              <w:top w:type="dxa" w:w="70"/>
              <w:left w:type="dxa" w:w="110"/>
              <w:bottom w:type="dxa" w:w="70"/>
              <w:right w:type="dxa" w:w="110"/>
            </w:tcMar>
          </w:tcPr>
          <w:p>
            <w:pPr>
              <w:spacing w:after="0"/>
            </w:pPr>
            <w:r>
              <w:rPr>
                <w:rFonts w:ascii="Arial" w:cs="Arial" w:eastAsia="Arial" w:hAnsi="Arial"/>
                <w:sz w:val="16"/>
                <w:szCs w:val="16"/>
              </w:rPr>
              <w:t xml:space="preserve">6</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Monitoring egress</w:t>
            </w:r>
          </w:p>
        </w:tc>
        <w:tc>
          <w:tcPr>
            <w:tcW w:type="dxa" w:w="4600"/>
            <w:tcMar>
              <w:top w:type="dxa" w:w="70"/>
              <w:left w:type="dxa" w:w="110"/>
              <w:bottom w:type="dxa" w:w="70"/>
              <w:right w:type="dxa" w:w="110"/>
            </w:tcMar>
          </w:tcPr>
          <w:p>
            <w:pPr>
              <w:spacing w:after="0"/>
            </w:pPr>
            <w:r>
              <w:rPr>
                <w:rFonts w:ascii="Arial" w:cs="Arial" w:eastAsia="Arial" w:hAnsi="Arial"/>
                <w:sz w:val="16"/>
                <w:szCs w:val="16"/>
              </w:rPr>
              <w:t xml:space="preserve">Reset Defender for Cloud baseline monitoring profiles for the v2.3 serving path and restart log ingestion channels. Baselines calibrated to v2.4 output distributions will misfire against v2.3.</w:t>
            </w:r>
          </w:p>
        </w:tc>
        <w:tc>
          <w:tcPr>
            <w:tcW w:type="dxa" w:w="2580"/>
            <w:tcMar>
              <w:top w:type="dxa" w:w="70"/>
              <w:left w:type="dxa" w:w="110"/>
              <w:bottom w:type="dxa" w:w="70"/>
              <w:right w:type="dxa" w:w="110"/>
            </w:tcMar>
          </w:tcPr>
          <w:p>
            <w:pPr>
              <w:spacing w:after="0"/>
            </w:pPr>
            <w:r>
              <w:rPr>
                <w:rFonts w:ascii="Arial" w:cs="Arial" w:eastAsia="Arial" w:hAnsi="Arial"/>
                <w:sz w:val="16"/>
                <w:szCs w:val="16"/>
              </w:rPr>
              <w:t xml:space="preserve">SecOps Incident Commander</w:t>
            </w:r>
          </w:p>
        </w:tc>
      </w:tr>
      <w:tr>
        <w:tc>
          <w:tcPr>
            <w:tcW w:type="dxa" w:w="700"/>
            <w:tcMar>
              <w:top w:type="dxa" w:w="70"/>
              <w:left w:type="dxa" w:w="110"/>
              <w:bottom w:type="dxa" w:w="70"/>
              <w:right w:type="dxa" w:w="110"/>
            </w:tcMar>
          </w:tcPr>
          <w:p>
            <w:pPr>
              <w:spacing w:after="0"/>
            </w:pPr>
            <w:r>
              <w:rPr>
                <w:rFonts w:ascii="Arial" w:cs="Arial" w:eastAsia="Arial" w:hAnsi="Arial"/>
                <w:sz w:val="16"/>
                <w:szCs w:val="16"/>
              </w:rPr>
              <w:t xml:space="preserve">7</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Compliance notification</w:t>
            </w:r>
          </w:p>
        </w:tc>
        <w:tc>
          <w:tcPr>
            <w:tcW w:type="dxa" w:w="4600"/>
            <w:tcMar>
              <w:top w:type="dxa" w:w="70"/>
              <w:left w:type="dxa" w:w="110"/>
              <w:bottom w:type="dxa" w:w="70"/>
              <w:right w:type="dxa" w:w="110"/>
            </w:tcMar>
          </w:tcPr>
          <w:p>
            <w:pPr>
              <w:spacing w:after="0"/>
            </w:pPr>
            <w:r>
              <w:rPr>
                <w:rFonts w:ascii="Arial" w:cs="Arial" w:eastAsia="Arial" w:hAnsi="Arial"/>
                <w:sz w:val="16"/>
                <w:szCs w:val="16"/>
              </w:rPr>
              <w:t xml:space="preserve">Initiate contractual SLA breach notification. v2.3 operates 0.6 percentage points below the 91.0% floor from the moment it takes production traffic; the breach begins at cutover, not at the end of the day.</w:t>
            </w:r>
          </w:p>
        </w:tc>
        <w:tc>
          <w:tcPr>
            <w:tcW w:type="dxa" w:w="2580"/>
            <w:tcMar>
              <w:top w:type="dxa" w:w="70"/>
              <w:left w:type="dxa" w:w="110"/>
              <w:bottom w:type="dxa" w:w="70"/>
              <w:right w:type="dxa" w:w="110"/>
            </w:tcMar>
          </w:tcPr>
          <w:p>
            <w:pPr>
              <w:spacing w:after="0"/>
            </w:pPr>
            <w:r>
              <w:rPr>
                <w:rFonts w:ascii="Arial" w:cs="Arial" w:eastAsia="Arial" w:hAnsi="Arial"/>
                <w:sz w:val="16"/>
                <w:szCs w:val="16"/>
              </w:rPr>
              <w:t xml:space="preserve">AI Governance Lead</w:t>
            </w:r>
          </w:p>
        </w:tc>
      </w:tr>
    </w:tbl>
    <w:p>
      <w:pPr>
        <w:pStyle w:val="Heading1"/>
        <w:keepNext/>
        <w:spacing w:after="160" w:before="320"/>
      </w:pPr>
      <w:r>
        <w:rPr>
          <w:rFonts w:ascii="Arial" w:cs="Arial" w:eastAsia="Arial" w:hAnsi="Arial"/>
          <w:b/>
          <w:bCs/>
          <w:color w:val="1F3864"/>
          <w:sz w:val="26"/>
          <w:szCs w:val="26"/>
        </w:rPr>
        <w:t xml:space="preserve">Section 5 — Residual Exposure After Rollback</w:t>
      </w:r>
    </w:p>
    <w:p>
      <w:pPr>
        <w:spacing w:after="110" w:before="0"/>
      </w:pPr>
      <w:r>
        <w:rPr>
          <w:rFonts w:ascii="Arial" w:cs="Arial" w:eastAsia="Arial" w:hAnsi="Arial"/>
          <w:sz w:val="20"/>
          <w:szCs w:val="20"/>
        </w:rPr>
        <w:t xml:space="preserve">Rollback is security-positive and compliance-negative. Both halves must be stated.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Accuracy position</w:t>
            </w:r>
          </w:p>
        </w:tc>
        <w:tc>
          <w:tcPr>
            <w:tcW w:type="dxa" w:w="7480"/>
            <w:tcMar>
              <w:top w:type="dxa" w:w="70"/>
              <w:left w:type="dxa" w:w="110"/>
              <w:bottom w:type="dxa" w:w="70"/>
              <w:right w:type="dxa" w:w="110"/>
            </w:tcMar>
          </w:tcPr>
          <w:p>
            <w:pPr>
              <w:spacing w:after="0"/>
            </w:pPr>
            <w:r>
              <w:rPr>
                <w:rFonts w:ascii="Arial" w:cs="Arial" w:eastAsia="Arial" w:hAnsi="Arial"/>
                <w:b/>
                <w:bCs/>
                <w:color w:val="C00000"/>
                <w:sz w:val="18"/>
                <w:szCs w:val="18"/>
              </w:rPr>
              <w:t xml:space="preserve">90.4% TPR against a 91.0% contractual floor — a breach of 0.6 percentage points, effective at cutover.</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Operational load</w:t>
            </w:r>
          </w:p>
        </w:tc>
        <w:tc>
          <w:tcPr>
            <w:tcW w:type="dxa" w:w="7480"/>
            <w:tcMar>
              <w:top w:type="dxa" w:w="70"/>
              <w:left w:type="dxa" w:w="110"/>
              <w:bottom w:type="dxa" w:w="70"/>
              <w:right w:type="dxa" w:w="110"/>
            </w:tcMar>
          </w:tcPr>
          <w:p>
            <w:pPr>
              <w:spacing w:after="0"/>
            </w:pPr>
            <w:r>
              <w:rPr>
                <w:rFonts w:ascii="Arial" w:cs="Arial" w:eastAsia="Arial" w:hAnsi="Arial"/>
                <w:b/>
                <w:bCs/>
                <w:color w:val="C00000"/>
                <w:sz w:val="18"/>
                <w:szCs w:val="18"/>
              </w:rPr>
              <w:t xml:space="preserve">Approximately 159,600 additional claims per day requiring manual review, accumulating from cutover.</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Intended duration</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Maximum 24 operational hours, per the inherited plan.</w:t>
            </w:r>
          </w:p>
        </w:tc>
      </w:tr>
      <w:tr>
        <w:tc>
          <w:tcPr>
            <w:tcW w:type="dxa" w:w="2600"/>
            <w:shd w:fill="FBE4E4" w:color="auto" w:val="clear"/>
            <w:tcMar>
              <w:top w:type="dxa" w:w="70"/>
              <w:left w:type="dxa" w:w="110"/>
              <w:bottom w:type="dxa" w:w="70"/>
              <w:right w:type="dxa" w:w="110"/>
            </w:tcMar>
          </w:tcPr>
          <w:p>
            <w:pPr>
              <w:spacing w:after="0"/>
            </w:pPr>
            <w:r>
              <w:rPr>
                <w:rFonts w:ascii="Arial" w:cs="Arial" w:eastAsia="Arial" w:hAnsi="Arial"/>
                <w:b/>
                <w:bCs/>
                <w:color w:val="C00000"/>
                <w:sz w:val="18"/>
                <w:szCs w:val="18"/>
              </w:rPr>
              <w:t xml:space="preserve">THE 24-HOUR PROBLEM</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The inherited plan limits the rollback state to 24 hours 'while patching is finalized'. That framing belongs to an inference-time vulnerability, where a patch restores the primary version within hours.</w:t>
            </w:r>
          </w:p>
          <w:p>
            <w:pPr>
              <w:spacing w:after="70"/>
            </w:pPr>
            <w:r>
              <w:rPr>
                <w:rFonts w:ascii="Arial" w:cs="Arial" w:eastAsia="Arial" w:hAnsi="Arial"/>
                <w:sz w:val="18"/>
                <w:szCs w:val="18"/>
              </w:rPr>
              <w:t xml:space="preserve">It does not hold here. If rollback is triggered by confirmed exploitation or shadow divergence, returning to v2.4 is precisely what must not happen — v2.4 is the suspect artefact. The earliest safe return is the retrained replacement, which is 3 to 4 weeks away, not 24 hours.</w:t>
            </w:r>
          </w:p>
          <w:p>
            <w:pPr>
              <w:spacing w:after="70"/>
            </w:pPr>
            <w:r>
              <w:rPr>
                <w:rFonts w:ascii="Arial" w:cs="Arial" w:eastAsia="Arial" w:hAnsi="Arial"/>
                <w:sz w:val="18"/>
                <w:szCs w:val="18"/>
              </w:rPr>
              <w:t xml:space="preserve">A security-triggered rollback therefore persists for weeks, at 159,600 additional manual claims per day. Over 21 days that is 3.35 million claims. The 24-hour limit is not a control; it is an assumption inherited from a different vulnerability, and leaving it unexamined would mean discovering it on the day it fails.</w:t>
            </w:r>
          </w:p>
          <w:p>
            <w:pPr>
              <w:spacing w:after="0"/>
            </w:pPr>
            <w:r>
              <w:rPr>
                <w:rFonts w:ascii="Arial" w:cs="Arial" w:eastAsia="Arial" w:hAnsi="Arial"/>
                <w:sz w:val="18"/>
                <w:szCs w:val="18"/>
              </w:rPr>
              <w:t xml:space="preserve">ESCALATION PATH, defined here rather than improvised: on any rollback persisting beyond 24 hours, the AI Governance Lead initiates (a) formal contractual SLA breach notification with an estimated duration rather than a 24-hour holding statement, (b) surge manual review capacity procurement, and (c) a documented decision by the Director of AI Production Infrastructure Operations on whether to accept the sustained breach or restore v2.4 under enhanced monitoring, with that decision recorded and countersigned.</w:t>
            </w:r>
          </w:p>
        </w:tc>
      </w:tr>
      <w:tr>
        <w:tc>
          <w:tcPr>
            <w:tcW w:type="dxa" w:w="26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Caveat on v2.3 cleanliness</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v2.3 is clean of CVE-2025-XXXX because NeuralCore v2.9.1 sits outside the affected version range. It is not thereby clean of data poisoning generally: control C3.1 has never existed, so v2.3's training corpus provenance is as unverified as v2.4's. Rollback removes a specific known exposure, not the class of exposure. This is stated so that reverting is not mistaken for restoring a proven-clean state.</w:t>
            </w:r>
          </w:p>
        </w:tc>
      </w:tr>
    </w:tbl>
    <w:p>
      <w:pPr>
        <w:pStyle w:val="Heading1"/>
        <w:keepNext/>
        <w:spacing w:after="160" w:before="320"/>
      </w:pPr>
      <w:r>
        <w:rPr>
          <w:rFonts w:ascii="Arial" w:cs="Arial" w:eastAsia="Arial" w:hAnsi="Arial"/>
          <w:b/>
          <w:bCs/>
          <w:color w:val="1F3864"/>
          <w:sz w:val="26"/>
          <w:szCs w:val="26"/>
        </w:rPr>
        <w:t xml:space="preserve">Section 6 — Post-Recovery Verification and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Check</w:t>
            </w:r>
          </w:p>
        </w:tc>
        <w:tc>
          <w:tcPr>
            <w:tcW w:type="dxa" w:w="74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Requirement</w:t>
            </w:r>
          </w:p>
        </w:tc>
      </w:tr>
      <w:tr>
        <w:tc>
          <w:tcPr>
            <w:tcW w:type="dxa" w:w="2600"/>
            <w:tcMar>
              <w:top w:type="dxa" w:w="70"/>
              <w:left w:type="dxa" w:w="110"/>
              <w:bottom w:type="dxa" w:w="70"/>
              <w:right w:type="dxa" w:w="110"/>
            </w:tcMar>
          </w:tcPr>
          <w:p>
            <w:pPr>
              <w:spacing w:after="0"/>
            </w:pPr>
            <w:r>
              <w:rPr>
                <w:rFonts w:ascii="Arial" w:cs="Arial" w:eastAsia="Arial" w:hAnsi="Arial"/>
                <w:sz w:val="16"/>
                <w:szCs w:val="16"/>
              </w:rPr>
              <w:t xml:space="preserve">Telemetry checkout</w:t>
            </w:r>
          </w:p>
        </w:tc>
        <w:tc>
          <w:tcPr>
            <w:tcW w:type="dxa" w:w="7480"/>
            <w:tcMar>
              <w:top w:type="dxa" w:w="70"/>
              <w:left w:type="dxa" w:w="110"/>
              <w:bottom w:type="dxa" w:w="70"/>
              <w:right w:type="dxa" w:w="110"/>
            </w:tcMar>
          </w:tcPr>
          <w:p>
            <w:pPr>
              <w:spacing w:after="0"/>
            </w:pPr>
            <w:r>
              <w:rPr>
                <w:rFonts w:ascii="Arial" w:cs="Arial" w:eastAsia="Arial" w:hAnsi="Arial"/>
                <w:sz w:val="16"/>
                <w:szCs w:val="16"/>
              </w:rPr>
              <w:t xml:space="preserve">5-minute loop verifying the model API endpoint responds within a stable sub-350ms window and that queue dispatch reaches all three downstream systems.</w:t>
            </w:r>
          </w:p>
        </w:tc>
      </w:tr>
      <w:tr>
        <w:tc>
          <w:tcPr>
            <w:tcW w:type="dxa" w:w="2600"/>
            <w:tcMar>
              <w:top w:type="dxa" w:w="70"/>
              <w:left w:type="dxa" w:w="110"/>
              <w:bottom w:type="dxa" w:w="70"/>
              <w:right w:type="dxa" w:w="110"/>
            </w:tcMar>
          </w:tcPr>
          <w:p>
            <w:pPr>
              <w:spacing w:after="0"/>
            </w:pPr>
            <w:r>
              <w:rPr>
                <w:rFonts w:ascii="Arial" w:cs="Arial" w:eastAsia="Arial" w:hAnsi="Arial"/>
                <w:sz w:val="16"/>
                <w:szCs w:val="16"/>
              </w:rPr>
              <w:t xml:space="preserve">Routing integrity</w:t>
            </w:r>
          </w:p>
        </w:tc>
        <w:tc>
          <w:tcPr>
            <w:tcW w:type="dxa" w:w="7480"/>
            <w:tcMar>
              <w:top w:type="dxa" w:w="70"/>
              <w:left w:type="dxa" w:w="110"/>
              <w:bottom w:type="dxa" w:w="70"/>
              <w:right w:type="dxa" w:w="110"/>
            </w:tcMar>
          </w:tcPr>
          <w:p>
            <w:pPr>
              <w:spacing w:after="0"/>
            </w:pPr>
            <w:r>
              <w:rPr>
                <w:rFonts w:ascii="Arial" w:cs="Arial" w:eastAsia="Arial" w:hAnsi="Arial"/>
                <w:sz w:val="16"/>
                <w:szCs w:val="16"/>
              </w:rPr>
              <w:t xml:space="preserve">Reconcile a sample of high-risk classifications against actual queue placement, outside the model's own output path. This is control C2.5, currently Non-Compliant — until it is deployed, the verification is manual and its limits should be recorded.</w:t>
            </w:r>
          </w:p>
        </w:tc>
      </w:tr>
      <w:tr>
        <w:tc>
          <w:tcPr>
            <w:tcW w:type="dxa" w:w="2600"/>
            <w:tcMar>
              <w:top w:type="dxa" w:w="70"/>
              <w:left w:type="dxa" w:w="110"/>
              <w:bottom w:type="dxa" w:w="70"/>
              <w:right w:type="dxa" w:w="110"/>
            </w:tcMar>
          </w:tcPr>
          <w:p>
            <w:pPr>
              <w:spacing w:after="0"/>
            </w:pPr>
            <w:r>
              <w:rPr>
                <w:rFonts w:ascii="Arial" w:cs="Arial" w:eastAsia="Arial" w:hAnsi="Arial"/>
                <w:sz w:val="16"/>
                <w:szCs w:val="16"/>
              </w:rPr>
              <w:t xml:space="preserve">Adversarial baseline</w:t>
            </w:r>
          </w:p>
        </w:tc>
        <w:tc>
          <w:tcPr>
            <w:tcW w:type="dxa" w:w="7480"/>
            <w:tcMar>
              <w:top w:type="dxa" w:w="70"/>
              <w:left w:type="dxa" w:w="110"/>
              <w:bottom w:type="dxa" w:w="70"/>
              <w:right w:type="dxa" w:w="110"/>
            </w:tcMar>
          </w:tcPr>
          <w:p>
            <w:pPr>
              <w:spacing w:after="0"/>
            </w:pPr>
            <w:r>
              <w:rPr>
                <w:rFonts w:ascii="Arial" w:cs="Arial" w:eastAsia="Arial" w:hAnsi="Arial"/>
                <w:sz w:val="16"/>
                <w:szCs w:val="16"/>
              </w:rPr>
              <w:t xml:space="preserve">Re-run the red-team test cases from MHP-ADV-REP-2026-v1 against the reverted version. v2.3 has not been tested against ADV-01, ADV-02 or ADV-03, and it should not be assumed to inherit v2.4's posture in either direction.</w:t>
            </w:r>
          </w:p>
        </w:tc>
      </w:tr>
      <w:tr>
        <w:tc>
          <w:tcPr>
            <w:tcW w:type="dxa" w:w="2600"/>
            <w:tcMar>
              <w:top w:type="dxa" w:w="70"/>
              <w:left w:type="dxa" w:w="110"/>
              <w:bottom w:type="dxa" w:w="70"/>
              <w:right w:type="dxa" w:w="110"/>
            </w:tcMar>
          </w:tcPr>
          <w:p>
            <w:pPr>
              <w:spacing w:after="0"/>
            </w:pPr>
            <w:r>
              <w:rPr>
                <w:rFonts w:ascii="Arial" w:cs="Arial" w:eastAsia="Arial" w:hAnsi="Arial"/>
                <w:sz w:val="16"/>
                <w:szCs w:val="16"/>
              </w:rPr>
              <w:t xml:space="preserve">Backlog accounting</w:t>
            </w:r>
          </w:p>
        </w:tc>
        <w:tc>
          <w:tcPr>
            <w:tcW w:type="dxa" w:w="7480"/>
            <w:tcMar>
              <w:top w:type="dxa" w:w="70"/>
              <w:left w:type="dxa" w:w="110"/>
              <w:bottom w:type="dxa" w:w="70"/>
              <w:right w:type="dxa" w:w="110"/>
            </w:tcMar>
          </w:tcPr>
          <w:p>
            <w:pPr>
              <w:spacing w:after="0"/>
            </w:pPr>
            <w:r>
              <w:rPr>
                <w:rFonts w:ascii="Arial" w:cs="Arial" w:eastAsia="Arial" w:hAnsi="Arial"/>
                <w:sz w:val="16"/>
                <w:szCs w:val="16"/>
              </w:rPr>
              <w:t xml:space="preserve">Record holding-queue depth at cutover and the accumulating manual review deficit, reported daily to the AI Governance Lead for the duration.</w:t>
            </w:r>
          </w:p>
        </w:tc>
      </w:tr>
      <w:tr>
        <w:tc>
          <w:tcPr>
            <w:tcW w:type="dxa" w:w="2600"/>
            <w:tcMar>
              <w:top w:type="dxa" w:w="70"/>
              <w:left w:type="dxa" w:w="110"/>
              <w:bottom w:type="dxa" w:w="70"/>
              <w:right w:type="dxa" w:w="110"/>
            </w:tcMar>
          </w:tcPr>
          <w:p>
            <w:pPr>
              <w:spacing w:after="0"/>
            </w:pPr>
            <w:r>
              <w:rPr>
                <w:rFonts w:ascii="Arial" w:cs="Arial" w:eastAsia="Arial" w:hAnsi="Arial"/>
                <w:sz w:val="16"/>
                <w:szCs w:val="16"/>
              </w:rPr>
              <w:t xml:space="preserve">Formal sign-off</w:t>
            </w:r>
          </w:p>
        </w:tc>
        <w:tc>
          <w:tcPr>
            <w:tcW w:type="dxa" w:w="7480"/>
            <w:tcMar>
              <w:top w:type="dxa" w:w="70"/>
              <w:left w:type="dxa" w:w="110"/>
              <w:bottom w:type="dxa" w:w="70"/>
              <w:right w:type="dxa" w:w="110"/>
            </w:tcMar>
          </w:tcPr>
          <w:p>
            <w:pPr>
              <w:spacing w:after="0"/>
            </w:pPr>
            <w:r>
              <w:rPr>
                <w:rFonts w:ascii="Arial" w:cs="Arial" w:eastAsia="Arial" w:hAnsi="Arial"/>
                <w:sz w:val="16"/>
                <w:szCs w:val="16"/>
              </w:rPr>
              <w:t xml:space="preserve">Attested by the Chief Information Security Officer and the AI Governance Lead within 2 hours of stabilisation, providing an audit log for supervisory authorities.</w:t>
            </w:r>
          </w:p>
        </w:tc>
      </w:tr>
    </w:tbl>
    <w:p>
      <w:pPr>
        <w:pStyle w:val="Heading1"/>
        <w:keepNext/>
        <w:spacing w:after="160" w:before="320"/>
      </w:pPr>
      <w:r>
        <w:rPr>
          <w:rFonts w:ascii="Arial" w:cs="Arial" w:eastAsia="Arial" w:hAnsi="Arial"/>
          <w:b/>
          <w:bCs/>
          <w:color w:val="1F3864"/>
          <w:sz w:val="26"/>
          <w:szCs w:val="26"/>
        </w:rPr>
        <w:t xml:space="preserve">Section 7 — Cross-Reference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Document</w:t>
            </w:r>
          </w:p>
        </w:tc>
        <w:tc>
          <w:tcPr>
            <w:tcW w:type="dxa" w:w="72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Relationship</w:t>
            </w:r>
          </w:p>
        </w:tc>
      </w:tr>
      <w:tr>
        <w:tc>
          <w:tcPr>
            <w:tcW w:type="dxa" w:w="2800"/>
            <w:tcMar>
              <w:top w:type="dxa" w:w="70"/>
              <w:left w:type="dxa" w:w="110"/>
              <w:bottom w:type="dxa" w:w="70"/>
              <w:right w:type="dxa" w:w="110"/>
            </w:tcMar>
          </w:tcPr>
          <w:p>
            <w:pPr>
              <w:spacing w:after="0"/>
            </w:pPr>
            <w:r>
              <w:rPr>
                <w:rFonts w:ascii="Arial" w:cs="Arial" w:eastAsia="Arial" w:hAnsi="Arial"/>
                <w:sz w:val="16"/>
                <w:szCs w:val="16"/>
              </w:rPr>
              <w:t xml:space="preserve">MHP-AI-GOV-2026-PKG01-CVE (Patch-vs-Retrain Decision Matrix)</w:t>
            </w:r>
          </w:p>
        </w:tc>
        <w:tc>
          <w:tcPr>
            <w:tcW w:type="dxa" w:w="7280"/>
            <w:tcMar>
              <w:top w:type="dxa" w:w="70"/>
              <w:left w:type="dxa" w:w="110"/>
              <w:bottom w:type="dxa" w:w="70"/>
              <w:right w:type="dxa" w:w="110"/>
            </w:tcMar>
          </w:tcPr>
          <w:p>
            <w:pPr>
              <w:spacing w:after="0"/>
            </w:pPr>
            <w:r>
              <w:rPr>
                <w:rFonts w:ascii="Arial" w:cs="Arial" w:eastAsia="Arial" w:hAnsi="Arial"/>
                <w:sz w:val="16"/>
                <w:szCs w:val="16"/>
              </w:rPr>
              <w:t xml:space="preserve">Gate G5 of the mandatory gate test requires a validated rollback contingency. This plan is that evidence.</w:t>
            </w:r>
          </w:p>
        </w:tc>
      </w:tr>
      <w:tr>
        <w:tc>
          <w:tcPr>
            <w:tcW w:type="dxa" w:w="2800"/>
            <w:tcMar>
              <w:top w:type="dxa" w:w="70"/>
              <w:left w:type="dxa" w:w="110"/>
              <w:bottom w:type="dxa" w:w="70"/>
              <w:right w:type="dxa" w:w="110"/>
            </w:tcMar>
          </w:tcPr>
          <w:p>
            <w:pPr>
              <w:spacing w:after="0"/>
            </w:pPr>
            <w:r>
              <w:rPr>
                <w:rFonts w:ascii="Arial" w:cs="Arial" w:eastAsia="Arial" w:hAnsi="Arial"/>
                <w:sz w:val="16"/>
                <w:szCs w:val="16"/>
              </w:rPr>
              <w:t xml:space="preserve">Compliance Package Report §4.2</w:t>
            </w:r>
          </w:p>
        </w:tc>
        <w:tc>
          <w:tcPr>
            <w:tcW w:type="dxa" w:w="7280"/>
            <w:tcMar>
              <w:top w:type="dxa" w:w="70"/>
              <w:left w:type="dxa" w:w="110"/>
              <w:bottom w:type="dxa" w:w="70"/>
              <w:right w:type="dxa" w:w="110"/>
            </w:tcMar>
          </w:tcPr>
          <w:p>
            <w:pPr>
              <w:spacing w:after="0"/>
            </w:pPr>
            <w:r>
              <w:rPr>
                <w:rFonts w:ascii="Arial" w:cs="Arial" w:eastAsia="Arial" w:hAnsi="Arial"/>
                <w:sz w:val="16"/>
                <w:szCs w:val="16"/>
              </w:rPr>
              <w:t xml:space="preserve">The CVE response cites this plan as the rollback conformance reference.</w:t>
            </w:r>
          </w:p>
        </w:tc>
      </w:tr>
      <w:tr>
        <w:tc>
          <w:tcPr>
            <w:tcW w:type="dxa" w:w="2800"/>
            <w:tcMar>
              <w:top w:type="dxa" w:w="70"/>
              <w:left w:type="dxa" w:w="110"/>
              <w:bottom w:type="dxa" w:w="70"/>
              <w:right w:type="dxa" w:w="110"/>
            </w:tcMar>
          </w:tcPr>
          <w:p>
            <w:pPr>
              <w:spacing w:after="0"/>
            </w:pPr>
            <w:r>
              <w:rPr>
                <w:rFonts w:ascii="Arial" w:cs="Arial" w:eastAsia="Arial" w:hAnsi="Arial"/>
                <w:sz w:val="16"/>
                <w:szCs w:val="16"/>
              </w:rPr>
              <w:t xml:space="preserve">Compliance Package Report §5 (Risk Disposition)</w:t>
            </w:r>
          </w:p>
        </w:tc>
        <w:tc>
          <w:tcPr>
            <w:tcW w:type="dxa" w:w="7280"/>
            <w:tcMar>
              <w:top w:type="dxa" w:w="70"/>
              <w:left w:type="dxa" w:w="110"/>
              <w:bottom w:type="dxa" w:w="70"/>
              <w:right w:type="dxa" w:w="110"/>
            </w:tcMar>
          </w:tcPr>
          <w:p>
            <w:pPr>
              <w:spacing w:after="0"/>
            </w:pPr>
            <w:r>
              <w:rPr>
                <w:rFonts w:ascii="Arial" w:cs="Arial" w:eastAsia="Arial" w:hAnsi="Arial"/>
                <w:sz w:val="16"/>
                <w:szCs w:val="16"/>
              </w:rPr>
              <w:t xml:space="preserve">CVE-2025-XXXX is carried as a named risk. Trigger 3 and the Section 5 escalation path are its compensating controls.</w:t>
            </w:r>
          </w:p>
        </w:tc>
      </w:tr>
      <w:tr>
        <w:tc>
          <w:tcPr>
            <w:tcW w:type="dxa" w:w="2800"/>
            <w:tcMar>
              <w:top w:type="dxa" w:w="70"/>
              <w:left w:type="dxa" w:w="110"/>
              <w:bottom w:type="dxa" w:w="70"/>
              <w:right w:type="dxa" w:w="110"/>
            </w:tcMar>
          </w:tcPr>
          <w:p>
            <w:pPr>
              <w:spacing w:after="0"/>
            </w:pPr>
            <w:r>
              <w:rPr>
                <w:rFonts w:ascii="Arial" w:cs="Arial" w:eastAsia="Arial" w:hAnsi="Arial"/>
                <w:sz w:val="16"/>
                <w:szCs w:val="16"/>
              </w:rPr>
              <w:t xml:space="preserve">Defence-in-Depth checklist C3.1</w:t>
            </w:r>
          </w:p>
        </w:tc>
        <w:tc>
          <w:tcPr>
            <w:tcW w:type="dxa" w:w="7280"/>
            <w:tcMar>
              <w:top w:type="dxa" w:w="70"/>
              <w:left w:type="dxa" w:w="110"/>
              <w:bottom w:type="dxa" w:w="70"/>
              <w:right w:type="dxa" w:w="110"/>
            </w:tcMar>
          </w:tcPr>
          <w:p>
            <w:pPr>
              <w:spacing w:after="0"/>
            </w:pPr>
            <w:r>
              <w:rPr>
                <w:rFonts w:ascii="Arial" w:cs="Arial" w:eastAsia="Arial" w:hAnsi="Arial"/>
                <w:sz w:val="16"/>
                <w:szCs w:val="16"/>
              </w:rPr>
              <w:t xml:space="preserve">Cryptographic ingestion hashing. Required before the retrain corpus is assembled, so the replacement model can be demonstrated clean in a way v2.4 cannot.</w:t>
            </w:r>
          </w:p>
        </w:tc>
      </w:tr>
      <w:tr>
        <w:tc>
          <w:tcPr>
            <w:tcW w:type="dxa" w:w="2800"/>
            <w:tcMar>
              <w:top w:type="dxa" w:w="70"/>
              <w:left w:type="dxa" w:w="110"/>
              <w:bottom w:type="dxa" w:w="70"/>
              <w:right w:type="dxa" w:w="110"/>
            </w:tcMar>
          </w:tcPr>
          <w:p>
            <w:pPr>
              <w:spacing w:after="0"/>
            </w:pPr>
            <w:r>
              <w:rPr>
                <w:rFonts w:ascii="Arial" w:cs="Arial" w:eastAsia="Arial" w:hAnsi="Arial"/>
                <w:sz w:val="16"/>
                <w:szCs w:val="16"/>
              </w:rPr>
              <w:t xml:space="preserve">MHP-TRANSFORMER-SEC-2026</w:t>
            </w:r>
          </w:p>
        </w:tc>
        <w:tc>
          <w:tcPr>
            <w:tcW w:type="dxa" w:w="7280"/>
            <w:tcMar>
              <w:top w:type="dxa" w:w="70"/>
              <w:left w:type="dxa" w:w="110"/>
              <w:bottom w:type="dxa" w:w="70"/>
              <w:right w:type="dxa" w:w="110"/>
            </w:tcMar>
          </w:tcPr>
          <w:p>
            <w:pPr>
              <w:spacing w:after="0"/>
            </w:pPr>
            <w:r>
              <w:rPr>
                <w:rFonts w:ascii="Arial" w:cs="Arial" w:eastAsia="Arial" w:hAnsi="Arial"/>
                <w:sz w:val="16"/>
                <w:szCs w:val="16"/>
              </w:rPr>
              <w:t xml:space="preserve">Attack surface AS-05, the training data pipeline. This CVE is that surface's exploit.</w:t>
            </w:r>
          </w:p>
        </w:tc>
      </w:tr>
    </w:tbl>
    <w:p>
      <w:pPr>
        <w:spacing w:after="200" w:before="0"/>
      </w:pPr>
      <w:r>
        <w:rPr>
          <w:rFonts w:ascii="Arial" w:cs="Arial" w:eastAsia="Arial" w:hAnsi="Arial"/>
          <w:sz w:val="20"/>
          <w:szCs w:val="20"/>
        </w:rPr>
        <w:t xml:space="preserve"/>
      </w:r>
    </w:p>
    <w:p>
      <w:pPr>
        <w:spacing w:after="110" w:before="0"/>
      </w:pPr>
      <w:r>
        <w:rPr>
          <w:rFonts w:ascii="Arial" w:cs="Arial" w:eastAsia="Arial" w:hAnsi="Arial"/>
          <w:i/>
          <w:iCs/>
          <w:color w:val="595959"/>
          <w:sz w:val="17"/>
          <w:szCs w:val="17"/>
        </w:rPr>
        <w:t xml:space="preserve">Prepared by the AI Governance Lead, Meridian Health Partners Ltd., 3 July 2026. Supersedes MHP-OPSC-RECOVERY-v1 in full.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5"/>
        <w:szCs w:val="15"/>
      </w:rPr>
      <w:t xml:space="preserve">MHP-OPSC-RECOVERY-v2 — Emergency Rollback Plan — Internal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Rollback &amp; Deployment Recovery Plan — Insurance Claims Triage AI</dc:title>
  <dc:creator>AI Governance Lead, Meridian Health Partners</dc:creator>
  <cp:lastModifiedBy>Un-named</cp:lastModifiedBy>
  <cp:revision>1</cp:revision>
  <dcterms:created xsi:type="dcterms:W3CDTF">2026-08-26T06:19:38.528Z</dcterms:created>
  <dcterms:modified xsi:type="dcterms:W3CDTF">2026-08-26T06:19:38.546Z</dcterms:modified>
</cp:coreProperties>
</file>

<file path=docProps/custom.xml><?xml version="1.0" encoding="utf-8"?>
<Properties xmlns="http://schemas.openxmlformats.org/officeDocument/2006/custom-properties" xmlns:vt="http://schemas.openxmlformats.org/officeDocument/2006/docPropsVTypes"/>
</file>