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1F3864"/>
          <w:sz w:val="52"/>
          <w:szCs w:val="52"/>
        </w:rPr>
        <w:t xml:space="preserve">Clinical Operations Analytics Platform</w:t>
      </w:r>
    </w:p>
    <w:p>
      <w:pPr>
        <w:pBdr>
          <w:bottom w:val="single" w:color="1F3864" w:sz="12" w:space="8"/>
        </w:pBdr>
        <w:spacing w:after="240"/>
      </w:pPr>
      <w:r>
        <w:rPr>
          <w:rFonts w:ascii="Calibri" w:cs="Calibri" w:eastAsia="Calibri" w:hAnsi="Calibri"/>
          <w:color w:val="2F5496"/>
          <w:sz w:val="32"/>
          <w:szCs w:val="32"/>
        </w:rPr>
        <w:t xml:space="preserve">Microsoft Fabric Architecture Document</w:t>
      </w:r>
    </w:p>
    <w:p>
      <w:pPr>
        <w:spacing w:after="60"/>
      </w:pPr>
      <w:r>
        <w:rPr>
          <w:rFonts w:ascii="Calibri" w:cs="Calibri" w:eastAsia="Calibri" w:hAnsi="Calibri"/>
          <w:color w:val="404040"/>
          <w:sz w:val="20"/>
          <w:szCs w:val="20"/>
        </w:rPr>
        <w:t xml:space="preserve">Prepared for: Regional Health Network — 12-Hospital System</w:t>
      </w:r>
    </w:p>
    <w:p>
      <w:pPr>
        <w:spacing w:after="60"/>
      </w:pPr>
      <w:r>
        <w:rPr>
          <w:rFonts w:ascii="Calibri" w:cs="Calibri" w:eastAsia="Calibri" w:hAnsi="Calibri"/>
          <w:color w:val="404040"/>
          <w:sz w:val="20"/>
          <w:szCs w:val="20"/>
        </w:rPr>
        <w:t xml:space="preserve">Document Owner: Enterprise Data &amp; Analytics (EDA)</w:t>
      </w:r>
    </w:p>
    <w:p>
      <w:pPr>
        <w:spacing w:after="60"/>
      </w:pPr>
      <w:r>
        <w:rPr>
          <w:rFonts w:ascii="Calibri" w:cs="Calibri" w:eastAsia="Calibri" w:hAnsi="Calibri"/>
          <w:color w:val="404040"/>
          <w:sz w:val="20"/>
          <w:szCs w:val="20"/>
        </w:rPr>
        <w:t xml:space="preserve">Version 1.0  |  Status: Draft for Architecture Review Board  |  Classification: Internal — Confidential</w:t>
      </w:r>
    </w:p>
    <w:p>
      <w:pPr>
        <w:pStyle w:val="Heading2"/>
        <w:spacing w:after="120" w:before="260"/>
      </w:pPr>
      <w:r>
        <w:rPr>
          <w:rFonts w:ascii="Calibri" w:cs="Calibri" w:eastAsia="Calibri" w:hAnsi="Calibri"/>
          <w:b/>
          <w:bCs/>
          <w:color w:val="2F5496"/>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060"/>
        <w:gridCol w:w="37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Date</w:t>
            </w:r>
          </w:p>
        </w:tc>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Author / Role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Summary of Change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 1</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Platform Architect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Initial skeleton, source system inventory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 2</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Platform Architect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Medallion design, semantic model, capacity sizing</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 3</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Architect + Privacy Officer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model, RLS/OLS/CLS, HIPAA control mapping</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 4</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Enterprise Data &amp; Analytics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Full draft released for Architecture Review Board sign-off</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Required Reviewers and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Role</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Responsibility in this Document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Approval Required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Chief Medical Information Officer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Validates that KPI definitions match clinical intent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HIPAA Privacy Officer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Approves PHI handling, minimum-necessary design, audit controls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Information Security Officer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Approves identity, access, encryption, and logging design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Director, Enterprise Data &amp; Analytics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Owns platform delivery, capacity budget, and operations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 Application Manager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Confirms extract method, refresh window, and source SLAs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Operations Leadership</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Confirms report content and departmental access model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Advisory</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Contents</w:t>
      </w:r>
    </w:p>
    <w:p>
      <w:pPr>
        <w:spacing w:after="80"/>
        <w:ind w:left="360"/>
      </w:pPr>
      <w:r>
        <w:rPr>
          <w:rFonts w:ascii="Calibri" w:cs="Calibri" w:eastAsia="Calibri" w:hAnsi="Calibri"/>
          <w:b w:val="false"/>
          <w:bCs w:val="false"/>
          <w:i w:val="false"/>
          <w:iCs w:val="false"/>
          <w:sz w:val="20"/>
          <w:szCs w:val="20"/>
        </w:rPr>
        <w:t xml:space="preserve">1. Executive Summary — purpose, clinical operations problem, solution approach, key benefits, assumptions, scope</w:t>
      </w:r>
    </w:p>
    <w:p>
      <w:pPr>
        <w:spacing w:after="80"/>
        <w:ind w:left="360"/>
      </w:pPr>
      <w:r>
        <w:rPr>
          <w:rFonts w:ascii="Calibri" w:cs="Calibri" w:eastAsia="Calibri" w:hAnsi="Calibri"/>
          <w:b w:val="false"/>
          <w:bCs w:val="false"/>
          <w:i w:val="false"/>
          <w:iCs w:val="false"/>
          <w:sz w:val="20"/>
          <w:szCs w:val="20"/>
        </w:rPr>
        <w:t xml:space="preserve">2. Architecture Overview — logical architecture, components, data flow, ingestion approach, Medallion design, semantic model, real-time component, workspace topology</w:t>
      </w:r>
    </w:p>
    <w:p>
      <w:pPr>
        <w:spacing w:after="80"/>
        <w:ind w:left="360"/>
      </w:pPr>
      <w:r>
        <w:rPr>
          <w:rFonts w:ascii="Calibri" w:cs="Calibri" w:eastAsia="Calibri" w:hAnsi="Calibri"/>
          <w:b w:val="false"/>
          <w:bCs w:val="false"/>
          <w:i w:val="false"/>
          <w:iCs w:val="false"/>
          <w:sz w:val="20"/>
          <w:szCs w:val="20"/>
        </w:rPr>
        <w:t xml:space="preserve">3. Security and Governance — principles, identity, workspace roles, PHI classification, RLS, OLS/CLS, SQL GRANT and DENY, HIPAA compliance, governance</w:t>
      </w:r>
    </w:p>
    <w:p>
      <w:pPr>
        <w:spacing w:after="80"/>
        <w:ind w:left="360"/>
      </w:pPr>
      <w:r>
        <w:rPr>
          <w:rFonts w:ascii="Calibri" w:cs="Calibri" w:eastAsia="Calibri" w:hAnsi="Calibri"/>
          <w:b w:val="false"/>
          <w:bCs w:val="false"/>
          <w:i w:val="false"/>
          <w:iCs w:val="false"/>
          <w:sz w:val="20"/>
          <w:szCs w:val="20"/>
        </w:rPr>
        <w:t xml:space="preserve">4. Capacity and Performance — workload profile, SKU recommendation, cost management, autoscaling strategy, performance targets</w:t>
      </w:r>
    </w:p>
    <w:p>
      <w:pPr>
        <w:spacing w:after="80"/>
        <w:ind w:left="360"/>
      </w:pPr>
      <w:r>
        <w:rPr>
          <w:rFonts w:ascii="Calibri" w:cs="Calibri" w:eastAsia="Calibri" w:hAnsi="Calibri"/>
          <w:b w:val="false"/>
          <w:bCs w:val="false"/>
          <w:i w:val="false"/>
          <w:iCs w:val="false"/>
          <w:sz w:val="20"/>
          <w:szCs w:val="20"/>
        </w:rPr>
        <w:t xml:space="preserve">5. DevOps and Deployment — environment model, branching, Git integration, deployment pipeline, deployment rules, CI/CD triggers, release gates, change management</w:t>
      </w:r>
    </w:p>
    <w:p>
      <w:pPr>
        <w:spacing w:after="80"/>
        <w:ind w:left="360"/>
      </w:pPr>
      <w:r>
        <w:rPr>
          <w:rFonts w:ascii="Calibri" w:cs="Calibri" w:eastAsia="Calibri" w:hAnsi="Calibri"/>
          <w:b w:val="false"/>
          <w:bCs w:val="false"/>
          <w:i w:val="false"/>
          <w:iCs w:val="false"/>
          <w:sz w:val="20"/>
          <w:szCs w:val="20"/>
        </w:rPr>
        <w:t xml:space="preserve">6. Operational Procedures — capacity monitoring, incident response, scheduled maintenance, business continuity</w:t>
      </w:r>
    </w:p>
    <w:p>
      <w:pPr>
        <w:spacing w:after="80"/>
        <w:ind w:left="360"/>
      </w:pPr>
      <w:r>
        <w:rPr>
          <w:rFonts w:ascii="Calibri" w:cs="Calibri" w:eastAsia="Calibri" w:hAnsi="Calibri"/>
          <w:b w:val="false"/>
          <w:bCs w:val="false"/>
          <w:i w:val="false"/>
          <w:iCs w:val="false"/>
          <w:sz w:val="20"/>
          <w:szCs w:val="20"/>
        </w:rPr>
        <w:t xml:space="preserve">Appendix A — Glossary   |   Appendix B — KPI Definitions   |   Appendix C — Open Items</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1. Executive Summary</w:t>
      </w:r>
    </w:p>
    <w:p>
      <w:pPr>
        <w:pStyle w:val="Heading2"/>
        <w:spacing w:after="120" w:before="260"/>
      </w:pPr>
      <w:r>
        <w:rPr>
          <w:rFonts w:ascii="Calibri" w:cs="Calibri" w:eastAsia="Calibri" w:hAnsi="Calibri"/>
          <w:b/>
          <w:bCs/>
          <w:color w:val="2F5496"/>
          <w:sz w:val="26"/>
          <w:szCs w:val="26"/>
        </w:rPr>
        <w:t xml:space="preserve">1.1 Purpose</w:t>
      </w:r>
    </w:p>
    <w:p>
      <w:pPr>
        <w:spacing w:after="140" w:line="276"/>
        <w:jc w:val="both"/>
      </w:pPr>
      <w:r>
        <w:rPr>
          <w:rFonts w:ascii="Calibri" w:cs="Calibri" w:eastAsia="Calibri" w:hAnsi="Calibri"/>
          <w:b w:val="false"/>
          <w:bCs w:val="false"/>
          <w:i w:val="false"/>
          <w:iCs w:val="false"/>
          <w:sz w:val="22"/>
          <w:szCs w:val="22"/>
        </w:rPr>
        <w:t xml:space="preserve">This document defines the target architecture for a clinical operations analytics platform built on Microsoft Fabric for a regional healthcare network of twelve hospitals. It specifies the data architecture, security and governance model, capacity plan, deployment process, and operational procedures required to move the network from fragmented, hospital-by-hospital reporting to a single governed analytics platform that satisfies HIPAA obligations for Protected Health Information (PHI).</w:t>
      </w:r>
    </w:p>
    <w:p>
      <w:pPr>
        <w:spacing w:after="140" w:line="276"/>
        <w:jc w:val="both"/>
      </w:pPr>
      <w:r>
        <w:rPr>
          <w:rFonts w:ascii="Calibri" w:cs="Calibri" w:eastAsia="Calibri" w:hAnsi="Calibri"/>
          <w:b w:val="false"/>
          <w:bCs w:val="false"/>
          <w:i w:val="false"/>
          <w:iCs w:val="false"/>
          <w:sz w:val="22"/>
          <w:szCs w:val="22"/>
        </w:rPr>
        <w:t xml:space="preserve">The document is written to be actionable: every section states a specific recommendation with the reasoning behind it, so that engineering can build from it and the Architecture Review Board, Privacy Officer, and Information Security Officer can approve or challenge concrete decisions rather than generalities.</w:t>
      </w:r>
    </w:p>
    <w:p>
      <w:pPr>
        <w:pStyle w:val="Heading2"/>
        <w:spacing w:after="120" w:before="260"/>
      </w:pPr>
      <w:r>
        <w:rPr>
          <w:rFonts w:ascii="Calibri" w:cs="Calibri" w:eastAsia="Calibri" w:hAnsi="Calibri"/>
          <w:b/>
          <w:bCs/>
          <w:color w:val="2F5496"/>
          <w:sz w:val="26"/>
          <w:szCs w:val="26"/>
        </w:rPr>
        <w:t xml:space="preserve">1.2 The Clinical Operations Problem</w:t>
      </w:r>
    </w:p>
    <w:p>
      <w:pPr>
        <w:spacing w:after="140" w:line="276"/>
        <w:jc w:val="both"/>
      </w:pPr>
      <w:r>
        <w:rPr>
          <w:rFonts w:ascii="Calibri" w:cs="Calibri" w:eastAsia="Calibri" w:hAnsi="Calibri"/>
          <w:b w:val="false"/>
          <w:bCs w:val="false"/>
          <w:i w:val="false"/>
          <w:iCs w:val="false"/>
          <w:sz w:val="22"/>
          <w:szCs w:val="22"/>
        </w:rPr>
        <w:t xml:space="preserve">The network currently produces operational reporting through hospital-local extracts from the Electronic Health Record (EHR), maintained largely in spreadsheets by individual decision-support analysts. Three consequences follow. First, the same measure is calculated differently at different hospitals — average length of stay is computed on discharges at some sites and on census days at others — so network-level comparison is unreliable. Second, reporting lags the clinical event by seven to ten days, which is too slow to influence throughput decisions. Third, extracts containing identifiable patient data circulate as files with no enforceable access control, which is a direct HIPAA exposure.</w:t>
      </w:r>
    </w:p>
    <w:p>
      <w:pPr>
        <w:spacing w:after="140" w:line="276"/>
        <w:jc w:val="both"/>
      </w:pPr>
      <w:r>
        <w:rPr>
          <w:rFonts w:ascii="Calibri" w:cs="Calibri" w:eastAsia="Calibri" w:hAnsi="Calibri"/>
          <w:b w:val="false"/>
          <w:bCs w:val="false"/>
          <w:i w:val="false"/>
          <w:iCs w:val="false"/>
          <w:sz w:val="22"/>
          <w:szCs w:val="22"/>
        </w:rPr>
        <w:t xml:space="preserve">The platform is designed to answer a defined set of clinical operations questions consistently across all twelve hospitals: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Length of stay: What is the average and median length of stay by hospital, department, service line, and discharging provider, and how does it trend against the case-mix-adjusted target?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Readmissions: Which departments and service lines exceed the network benchmark for 30-day unplanned readmission, and which index conditions drive that variance?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Encounter volume and demand: What is encounter volume by department, day of week, and hour of arrival, and where does arriving demand exceed staffed capacity?</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Emergency throughput: What is door-to-provider time, ED length of stay, boarding time for admitted patients, and left-without-being-seen rate by site?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Capacity and flow: What is current bed occupancy and pending-discharge volume, and how does discharge timing distribute across the day?</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Disposition and continuity: What is the discharge disposition mix, observation-to-inpatient conversion rate, and rate of discharge against medical advice?</w:t>
      </w:r>
    </w:p>
    <w:p>
      <w:pPr>
        <w:spacing w:after="140" w:line="276"/>
        <w:jc w:val="both"/>
      </w:pPr>
      <w:r>
        <w:rPr>
          <w:rFonts w:ascii="Calibri" w:cs="Calibri" w:eastAsia="Calibri" w:hAnsi="Calibri"/>
          <w:b w:val="false"/>
          <w:bCs w:val="false"/>
          <w:i w:val="false"/>
          <w:iCs w:val="false"/>
          <w:sz w:val="22"/>
          <w:szCs w:val="22"/>
        </w:rPr>
        <w:t xml:space="preserve">These questions define the scope of the gold layer and the certified semantic model. Any measure not traceable to one of them is out of scope for release 1.</w:t>
      </w:r>
    </w:p>
    <w:p>
      <w:pPr>
        <w:pStyle w:val="Heading2"/>
        <w:spacing w:after="120" w:before="260"/>
      </w:pPr>
      <w:r>
        <w:rPr>
          <w:rFonts w:ascii="Calibri" w:cs="Calibri" w:eastAsia="Calibri" w:hAnsi="Calibri"/>
          <w:b/>
          <w:bCs/>
          <w:color w:val="2F5496"/>
          <w:sz w:val="26"/>
          <w:szCs w:val="26"/>
        </w:rPr>
        <w:t xml:space="preserve">1.3 Solution Approach</w:t>
      </w:r>
    </w:p>
    <w:p>
      <w:pPr>
        <w:spacing w:after="140" w:line="276"/>
        <w:jc w:val="both"/>
      </w:pPr>
      <w:r>
        <w:rPr>
          <w:rFonts w:ascii="Calibri" w:cs="Calibri" w:eastAsia="Calibri" w:hAnsi="Calibri"/>
          <w:b w:val="false"/>
          <w:bCs w:val="false"/>
          <w:i w:val="false"/>
          <w:iCs w:val="false"/>
          <w:sz w:val="22"/>
          <w:szCs w:val="22"/>
        </w:rPr>
        <w:t xml:space="preserve">The platform is built entirely on Microsoft Fabric, using OneLake as the single storage layer and a Medallion (bronze / silver / gold) architecture to separate raw capture from clinical standardization and from analytics-ready aggregation. Patient encounter data is ingested daily from the EHR by Data Factory pipelines invoking watermark-driven Copy activity; a parallel Eventstream carries HL7 Admit-Discharge-Transfer (ADT) messages into an Eventhouse for near-real-time census and bed-occupancy visibility. PySpark notebooks perform cleansing, terminology mapping, and deduplication in silver, and build conformed dimensional and aggregate tables in gold.</w:t>
      </w:r>
    </w:p>
    <w:p>
      <w:pPr>
        <w:spacing w:after="140" w:line="276"/>
        <w:jc w:val="both"/>
      </w:pPr>
      <w:r>
        <w:rPr>
          <w:rFonts w:ascii="Calibri" w:cs="Calibri" w:eastAsia="Calibri" w:hAnsi="Calibri"/>
          <w:b w:val="false"/>
          <w:bCs w:val="false"/>
          <w:i w:val="false"/>
          <w:iCs w:val="false"/>
          <w:sz w:val="22"/>
          <w:szCs w:val="22"/>
        </w:rPr>
        <w:t xml:space="preserve">A single certified semantic model sits on gold in Direct Lake mode and carries the network-approved definitions of every clinical KPI. Security is layered: Microsoft Entra ID groups drive Fabric workspace roles; row-level security (RLS) restricts each user to their own hospital, department, or provider panel; object-level and column-level security (OLS/CLS) remove PHI columns from any role that does not need identifiable data; and explicit SQL GRANT and DENY statements govern direct query access through the Lakehouse SQL analytics endpoint. All content is version-controlled in Git and promoted through Development, Test, and Production workspaces by Fabric deployment pipelines with environment-specific deployment rules, triggered on pull request completion.</w:t>
      </w:r>
    </w:p>
    <w:p>
      <w:pPr>
        <w:pStyle w:val="Heading2"/>
        <w:spacing w:after="120" w:before="260"/>
      </w:pPr>
      <w:r>
        <w:rPr>
          <w:rFonts w:ascii="Calibri" w:cs="Calibri" w:eastAsia="Calibri" w:hAnsi="Calibri"/>
          <w:b/>
          <w:bCs/>
          <w:color w:val="2F5496"/>
          <w:sz w:val="26"/>
          <w:szCs w:val="26"/>
        </w:rPr>
        <w:t xml:space="preserve">1.4 Key Benefits</w:t>
      </w:r>
    </w:p>
    <w:p>
      <w:pPr>
        <w:spacing w:after="140" w:line="276"/>
        <w:jc w:val="both"/>
      </w:pPr>
      <w:r>
        <w:rPr>
          <w:rFonts w:ascii="Calibri" w:cs="Calibri" w:eastAsia="Calibri" w:hAnsi="Calibri"/>
          <w:b w:val="false"/>
          <w:bCs w:val="false"/>
          <w:i w:val="false"/>
          <w:iCs w:val="false"/>
          <w:sz w:val="22"/>
          <w:szCs w:val="22"/>
        </w:rPr>
        <w:t xml:space="preserve">Four benefits justify the investment and should be the basis for measuring the platform after go-live.</w:t>
      </w:r>
    </w:p>
    <w:p>
      <w:pPr>
        <w:pStyle w:val="ListParagraph"/>
        <w:numPr>
          <w:ilvl w:val="0"/>
          <w:numId w:val="3"/>
        </w:numPr>
        <w:spacing w:after="110" w:line="276"/>
      </w:pPr>
      <w:r>
        <w:rPr>
          <w:rFonts w:ascii="Calibri" w:cs="Calibri" w:eastAsia="Calibri" w:hAnsi="Calibri"/>
          <w:b w:val="false"/>
          <w:bCs w:val="false"/>
          <w:i w:val="false"/>
          <w:iCs w:val="false"/>
          <w:sz w:val="22"/>
          <w:szCs w:val="22"/>
        </w:rPr>
        <w:t xml:space="preserve">Faster access to clinical data. Encounter data is available to department leadership by 06:00 the morning after the clinical day, replacing a seven-to-ten-day reporting lag, and ED census and bed occupancy refresh within five minutes of the underlying ADT event. Operational decisions about staffing and throughput can be made on the current day rather than retrospectively.</w:t>
      </w:r>
    </w:p>
    <w:p>
      <w:pPr>
        <w:pStyle w:val="ListParagraph"/>
        <w:numPr>
          <w:ilvl w:val="0"/>
          <w:numId w:val="3"/>
        </w:numPr>
        <w:spacing w:after="110" w:line="276"/>
      </w:pPr>
      <w:r>
        <w:rPr>
          <w:rFonts w:ascii="Calibri" w:cs="Calibri" w:eastAsia="Calibri" w:hAnsi="Calibri"/>
          <w:b w:val="false"/>
          <w:bCs w:val="false"/>
          <w:i w:val="false"/>
          <w:iCs w:val="false"/>
          <w:sz w:val="22"/>
          <w:szCs w:val="22"/>
        </w:rPr>
        <w:t xml:space="preserve">Consistent metrics across all twelve hospitals. One certified semantic model holds one definition of average length of stay, readmission rate, and encounter volume. Site-level comparison, service-line review, and board reporting all draw from the same measures, which removes the recurring reconciliation argument that currently consumes decision-support capacity.</w:t>
      </w:r>
    </w:p>
    <w:p>
      <w:pPr>
        <w:pStyle w:val="ListParagraph"/>
        <w:numPr>
          <w:ilvl w:val="0"/>
          <w:numId w:val="3"/>
        </w:numPr>
        <w:spacing w:after="110" w:line="276"/>
      </w:pPr>
      <w:r>
        <w:rPr>
          <w:rFonts w:ascii="Calibri" w:cs="Calibri" w:eastAsia="Calibri" w:hAnsi="Calibri"/>
          <w:b w:val="false"/>
          <w:bCs w:val="false"/>
          <w:i w:val="false"/>
          <w:iCs w:val="false"/>
          <w:sz w:val="22"/>
          <w:szCs w:val="22"/>
        </w:rPr>
        <w:t xml:space="preserve">Demonstrable HIPAA compliance. Minimum-necessary access is enforced technically rather than by policy alone: RLS confines users to their own department or panel, OLS and CLS strip identifiers from analyst-facing roles, and every access to identifiable data is logged and retained. The network can produce evidence of who accessed which patient data, when, and under what authorization — evidence that spreadsheet distribution cannot produce.</w:t>
      </w:r>
    </w:p>
    <w:p>
      <w:pPr>
        <w:pStyle w:val="ListParagraph"/>
        <w:numPr>
          <w:ilvl w:val="0"/>
          <w:numId w:val="3"/>
        </w:numPr>
        <w:spacing w:after="110" w:line="276"/>
      </w:pPr>
      <w:r>
        <w:rPr>
          <w:rFonts w:ascii="Calibri" w:cs="Calibri" w:eastAsia="Calibri" w:hAnsi="Calibri"/>
          <w:b w:val="false"/>
          <w:bCs w:val="false"/>
          <w:i w:val="false"/>
          <w:iCs w:val="false"/>
          <w:sz w:val="22"/>
          <w:szCs w:val="22"/>
        </w:rPr>
        <w:t xml:space="preserve">Lower total cost and faster delivery of new analytics. Consolidating hospital-local extracts onto a single Fabric capacity removes duplicated storage and duplicated engineering effort. At the F64 capacity recommended in Section 4, report consumers do not require individual Power BI Pro licenses, which materially reduces the cost of extending access from decision-support staff to frontline clinical leadership.</w:t>
      </w:r>
    </w:p>
    <w:p>
      <w:pPr>
        <w:pStyle w:val="Heading2"/>
        <w:spacing w:after="120" w:before="260"/>
      </w:pPr>
      <w:r>
        <w:rPr>
          <w:rFonts w:ascii="Calibri" w:cs="Calibri" w:eastAsia="Calibri" w:hAnsi="Calibri"/>
          <w:b/>
          <w:bCs/>
          <w:color w:val="2F5496"/>
          <w:sz w:val="26"/>
          <w:szCs w:val="26"/>
        </w:rPr>
        <w:t xml:space="preserve">1.5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Assumption</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Impact if Invalid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The EHR vendor provides a supported clinical data warehouse or reporting database with a reliable last-modified timestamp for incremental extraction.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Ingestion shifts to full-table extract or vendor API, increasing refresh duration and CU consumption.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The network operates a single Microsoft Entra ID tenant covering all twelve hospitals.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Cross-tenant or B2B identity design required; RLS bridge table and group strategy must be reworked.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 enterprise master patient index (EMPI) supplies a stable enterprise patient identifier across sites.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Cross-site readmission measurement becomes unreliable; probabilistic matching would be required in silver.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 Business Associate Agreement and the HIPAA-eligible services configuration are in place with Microsoft for Azure and Fabric.</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Platform cannot legally hold PHI; project stops until executed.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is deployed in a US Azure region approved by the network for PHI, with data residency confirmed.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Region change required; OneLake and capacity must be redeployed.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department and provider hierarchies are maintained in a source of record that can be extracted daily.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 scope data becomes stale, producing both over- and under-permissioned users.</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1.6 Out of Scope for Release 1</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Clinical quality registry submission, regulatory quality measure certification (for example eCQM abstraction), and payer claims analytics.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Predictive or machine-learning models, including readmission risk scoring. The gold layer is designed to support these later, but no model is deployed in release 1.</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Revenue cycle, supply chain, and human resources subject areas.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Write-back to the EHR. The platform is strictly read-only with respect to clinical source systems.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Patient-facing or externally shared reporting. All distribution is internal to the network tenant.</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2. Architecture Overview</w:t>
      </w:r>
    </w:p>
    <w:p>
      <w:pPr>
        <w:pStyle w:val="Heading2"/>
        <w:spacing w:after="120" w:before="260"/>
      </w:pPr>
      <w:r>
        <w:rPr>
          <w:rFonts w:ascii="Calibri" w:cs="Calibri" w:eastAsia="Calibri" w:hAnsi="Calibri"/>
          <w:b/>
          <w:bCs/>
          <w:color w:val="2F5496"/>
          <w:sz w:val="26"/>
          <w:szCs w:val="26"/>
        </w:rPr>
        <w:t xml:space="preserve">2.1 Logical Architecture</w:t>
      </w:r>
    </w:p>
    <w:p>
      <w:pPr>
        <w:spacing w:after="140" w:line="276"/>
        <w:jc w:val="both"/>
      </w:pPr>
      <w:r>
        <w:rPr>
          <w:rFonts w:ascii="Calibri" w:cs="Calibri" w:eastAsia="Calibri" w:hAnsi="Calibri"/>
          <w:b w:val="false"/>
          <w:bCs w:val="false"/>
          <w:i w:val="false"/>
          <w:iCs w:val="false"/>
          <w:sz w:val="22"/>
          <w:szCs w:val="22"/>
        </w:rPr>
        <w:t xml:space="preserve">The diagram below shows the end-to-end architecture: source systems on the left, the Fabric platform with its Medallion layers and semantic model in the centre, and consumption on the right. A written walkthrough follows in Section 2.3 for readers using assistive technology or a text-only copy of this document.</w:t>
      </w:r>
    </w:p>
    <w:p>
      <w:pPr>
        <w:keepLines/>
        <w:shd w:fill="F4F5F7" w:color="auto" w:val="clear"/>
        <w:spacing w:after="0" w:before="10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SOURCE SYSTEMS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[EHR clinical      [HL7 v2 ADT       [EMPI /          [Reference code</w:t>
      </w:r>
    </w:p>
    <w:p>
      <w:pPr>
        <w:keepLines/>
        <w:shd w:fill="F4F5F7" w:color="auto" w:val="clear"/>
        <w:spacing w:after="0" w:before="0" w:line="216"/>
        <w:ind w:left="120" w:right="120"/>
      </w:pPr>
      <w:r>
        <w:rPr>
          <w:rFonts w:ascii="Consolas" w:cs="Consolas" w:eastAsia="Consolas" w:hAnsi="Consolas"/>
          <w:sz w:val="15"/>
          <w:szCs w:val="15"/>
        </w:rPr>
        <w:t xml:space="preserve">   data warehouse]    message feed]     provider &amp;       sets: ICD-10-CM,</w:t>
      </w:r>
    </w:p>
    <w:p>
      <w:pPr>
        <w:keepLines/>
        <w:shd w:fill="F4F5F7" w:color="auto" w:val="clear"/>
        <w:spacing w:after="0" w:before="0" w:line="216"/>
        <w:ind w:left="120" w:right="120"/>
      </w:pPr>
      <w:r>
        <w:rPr>
          <w:rFonts w:ascii="Consolas" w:cs="Consolas" w:eastAsia="Consolas" w:hAnsi="Consolas"/>
          <w:sz w:val="15"/>
          <w:szCs w:val="15"/>
        </w:rPr>
        <w:t xml:space="preserve">                                        dept registry]   CPT, DRG, SNOMED]</w:t>
      </w:r>
    </w:p>
    <w:p>
      <w:pPr>
        <w:keepLines/>
        <w:shd w:fill="F4F5F7" w:color="auto" w:val="clear"/>
        <w:spacing w:after="0" w:before="0" w:line="216"/>
        <w:ind w:left="120" w:right="120"/>
      </w:pPr>
      <w:r>
        <w:rPr>
          <w:rFonts w:ascii="Consolas" w:cs="Consolas" w:eastAsia="Consolas" w:hAnsi="Consolas"/>
          <w:sz w:val="15"/>
          <w:szCs w:val="15"/>
        </w:rPr>
        <w:t xml:space="preserve">        |                  |                 |                 |</w:t>
      </w:r>
    </w:p>
    <w:p>
      <w:pPr>
        <w:keepLines/>
        <w:shd w:fill="F4F5F7" w:color="auto" w:val="clear"/>
        <w:spacing w:after="0" w:before="0" w:line="216"/>
        <w:ind w:left="120" w:right="120"/>
      </w:pPr>
      <w:r>
        <w:rPr>
          <w:rFonts w:ascii="Consolas" w:cs="Consolas" w:eastAsia="Consolas" w:hAnsi="Consolas"/>
          <w:sz w:val="15"/>
          <w:szCs w:val="15"/>
        </w:rPr>
        <w:t xml:space="preserve">        | nightly batch    | continuous      | nightly         | monthly</w:t>
      </w:r>
    </w:p>
    <w:p>
      <w:pPr>
        <w:keepLines/>
        <w:shd w:fill="F4F5F7" w:color="auto" w:val="clear"/>
        <w:spacing w:after="0" w:before="0" w:line="216"/>
        <w:ind w:left="120" w:right="120"/>
      </w:pPr>
      <w:r>
        <w:rPr>
          <w:rFonts w:ascii="Consolas" w:cs="Consolas" w:eastAsia="Consolas" w:hAnsi="Consolas"/>
          <w:sz w:val="15"/>
          <w:szCs w:val="15"/>
        </w:rPr>
        <w:t xml:space="preserve">        | Copy Job         | Eventstream     | Copy Job        | Dataflow</w:t>
      </w:r>
    </w:p>
    <w:p>
      <w:pPr>
        <w:keepLines/>
        <w:shd w:fill="F4F5F7" w:color="auto" w:val="clear"/>
        <w:spacing w:after="0" w:before="0" w:line="216"/>
        <w:ind w:left="120" w:right="120"/>
      </w:pPr>
      <w:r>
        <w:rPr>
          <w:rFonts w:ascii="Consolas" w:cs="Consolas" w:eastAsia="Consolas" w:hAnsi="Consolas"/>
          <w:sz w:val="15"/>
          <w:szCs w:val="15"/>
        </w:rPr>
        <w:t xml:space="preserve">        | (watermark/CDC)  | (HL7 -&gt; JSON)   |                 | Gen2</w:t>
      </w:r>
    </w:p>
    <w:p>
      <w:pPr>
        <w:keepLines/>
        <w:shd w:fill="F4F5F7" w:color="auto" w:val="clear"/>
        <w:spacing w:after="0" w:before="0" w:line="216"/>
        <w:ind w:left="120" w:right="120"/>
      </w:pPr>
      <w:r>
        <w:rPr>
          <w:rFonts w:ascii="Consolas" w:cs="Consolas" w:eastAsia="Consolas" w:hAnsi="Consolas"/>
          <w:sz w:val="15"/>
          <w:szCs w:val="15"/>
        </w:rPr>
        <w:t xml:space="preserve">        v                  v                 v                 v</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MICROSOFT FABRIC   -   ONELAKE (Delta Parquet, single logical lake)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    +--------------+    +---------------+               |</w:t>
      </w:r>
    </w:p>
    <w:p>
      <w:pPr>
        <w:keepLines/>
        <w:shd w:fill="F4F5F7" w:color="auto" w:val="clear"/>
        <w:spacing w:after="0" w:before="0" w:line="216"/>
        <w:ind w:left="120" w:right="120"/>
      </w:pPr>
      <w:r>
        <w:rPr>
          <w:rFonts w:ascii="Consolas" w:cs="Consolas" w:eastAsia="Consolas" w:hAnsi="Consolas"/>
          <w:sz w:val="15"/>
          <w:szCs w:val="15"/>
        </w:rPr>
        <w:t xml:space="preserve">|  |  BRONZE     |    |  SILVER      |    |  GOLD         |               |</w:t>
      </w:r>
    </w:p>
    <w:p>
      <w:pPr>
        <w:keepLines/>
        <w:shd w:fill="F4F5F7" w:color="auto" w:val="clear"/>
        <w:spacing w:after="0" w:before="0" w:line="216"/>
        <w:ind w:left="120" w:right="120"/>
      </w:pPr>
      <w:r>
        <w:rPr>
          <w:rFonts w:ascii="Consolas" w:cs="Consolas" w:eastAsia="Consolas" w:hAnsi="Consolas"/>
          <w:sz w:val="15"/>
          <w:szCs w:val="15"/>
        </w:rPr>
        <w:t xml:space="preserve">|  |  lh_bronze  |---&gt;|  lh_silver   |---&gt;|  lh_gold      |               |</w:t>
      </w:r>
    </w:p>
    <w:p>
      <w:pPr>
        <w:keepLines/>
        <w:shd w:fill="F4F5F7" w:color="auto" w:val="clear"/>
        <w:spacing w:after="0" w:before="0" w:line="216"/>
        <w:ind w:left="120" w:right="120"/>
      </w:pPr>
      <w:r>
        <w:rPr>
          <w:rFonts w:ascii="Consolas" w:cs="Consolas" w:eastAsia="Consolas" w:hAnsi="Consolas"/>
          <w:sz w:val="15"/>
          <w:szCs w:val="15"/>
        </w:rPr>
        <w:t xml:space="preserve">|  |  raw, as-is |    |  conformed,  |    |  star schema, |               |</w:t>
      </w:r>
    </w:p>
    <w:p>
      <w:pPr>
        <w:keepLines/>
        <w:shd w:fill="F4F5F7" w:color="auto" w:val="clear"/>
        <w:spacing w:after="0" w:before="0" w:line="216"/>
        <w:ind w:left="120" w:right="120"/>
      </w:pPr>
      <w:r>
        <w:rPr>
          <w:rFonts w:ascii="Consolas" w:cs="Consolas" w:eastAsia="Consolas" w:hAnsi="Consolas"/>
          <w:sz w:val="15"/>
          <w:szCs w:val="15"/>
        </w:rPr>
        <w:t xml:space="preserve">|  |  append-    |    |  deduped,    |    |  KPI aggs,    |               |</w:t>
      </w:r>
    </w:p>
    <w:p>
      <w:pPr>
        <w:keepLines/>
        <w:shd w:fill="F4F5F7" w:color="auto" w:val="clear"/>
        <w:spacing w:after="0" w:before="0" w:line="216"/>
        <w:ind w:left="120" w:right="120"/>
      </w:pPr>
      <w:r>
        <w:rPr>
          <w:rFonts w:ascii="Consolas" w:cs="Consolas" w:eastAsia="Consolas" w:hAnsi="Consolas"/>
          <w:sz w:val="15"/>
          <w:szCs w:val="15"/>
        </w:rPr>
        <w:t xml:space="preserve">|  |  only, +    |    |  code-mapped,|    |  PHI held in  |               |</w:t>
      </w:r>
    </w:p>
    <w:p>
      <w:pPr>
        <w:keepLines/>
        <w:shd w:fill="F4F5F7" w:color="auto" w:val="clear"/>
        <w:spacing w:after="0" w:before="0" w:line="216"/>
        <w:ind w:left="120" w:right="120"/>
      </w:pPr>
      <w:r>
        <w:rPr>
          <w:rFonts w:ascii="Consolas" w:cs="Consolas" w:eastAsia="Consolas" w:hAnsi="Consolas"/>
          <w:sz w:val="15"/>
          <w:szCs w:val="15"/>
        </w:rPr>
        <w:t xml:space="preserve">|  |  audit cols |    |  validated   |    |  vault schema |               |</w:t>
      </w:r>
    </w:p>
    <w:p>
      <w:pPr>
        <w:keepLines/>
        <w:shd w:fill="F4F5F7" w:color="auto" w:val="clear"/>
        <w:spacing w:after="0" w:before="0" w:line="216"/>
        <w:ind w:left="120" w:right="120"/>
      </w:pPr>
      <w:r>
        <w:rPr>
          <w:rFonts w:ascii="Consolas" w:cs="Consolas" w:eastAsia="Consolas" w:hAnsi="Consolas"/>
          <w:sz w:val="15"/>
          <w:szCs w:val="15"/>
        </w:rPr>
        <w:t xml:space="preserve">|  +-------------+    +--------------+    +-------+-------+               |</w:t>
      </w:r>
    </w:p>
    <w:p>
      <w:pPr>
        <w:keepLines/>
        <w:shd w:fill="F4F5F7" w:color="auto" w:val="clear"/>
        <w:spacing w:after="0" w:before="0" w:line="216"/>
        <w:ind w:left="120" w:right="120"/>
      </w:pPr>
      <w:r>
        <w:rPr>
          <w:rFonts w:ascii="Consolas" w:cs="Consolas" w:eastAsia="Consolas" w:hAnsi="Consolas"/>
          <w:sz w:val="15"/>
          <w:szCs w:val="15"/>
        </w:rPr>
        <w:t xml:space="preserve">|         ^                   ^                   |                       |</w:t>
      </w:r>
    </w:p>
    <w:p>
      <w:pPr>
        <w:keepLines/>
        <w:shd w:fill="F4F5F7" w:color="auto" w:val="clear"/>
        <w:spacing w:after="0" w:before="0" w:line="216"/>
        <w:ind w:left="120" w:right="120"/>
      </w:pPr>
      <w:r>
        <w:rPr>
          <w:rFonts w:ascii="Consolas" w:cs="Consolas" w:eastAsia="Consolas" w:hAnsi="Consolas"/>
          <w:sz w:val="15"/>
          <w:szCs w:val="15"/>
        </w:rPr>
        <w:t xml:space="preserve">|         |   orchestrated by Data Factory        | Direct Lake           |</w:t>
      </w:r>
    </w:p>
    <w:p>
      <w:pPr>
        <w:keepLines/>
        <w:shd w:fill="F4F5F7" w:color="auto" w:val="clear"/>
        <w:spacing w:after="0" w:before="0" w:line="216"/>
        <w:ind w:left="120" w:right="120"/>
      </w:pPr>
      <w:r>
        <w:rPr>
          <w:rFonts w:ascii="Consolas" w:cs="Consolas" w:eastAsia="Consolas" w:hAnsi="Consolas"/>
          <w:sz w:val="15"/>
          <w:szCs w:val="15"/>
        </w:rPr>
        <w:t xml:space="preserve">|         |   pipelines + PySpark notebooks       v                       |</w:t>
      </w:r>
    </w:p>
    <w:p>
      <w:pPr>
        <w:keepLines/>
        <w:shd w:fill="F4F5F7" w:color="auto" w:val="clear"/>
        <w:spacing w:after="0" w:before="0" w:line="216"/>
        <w:ind w:left="120" w:right="120"/>
      </w:pPr>
      <w:r>
        <w:rPr>
          <w:rFonts w:ascii="Consolas" w:cs="Consolas" w:eastAsia="Consolas" w:hAnsi="Consolas"/>
          <w:sz w:val="15"/>
          <w:szCs w:val="15"/>
        </w:rPr>
        <w:t xml:space="preserve">|  +-------------+                        +------------------+            |</w:t>
      </w:r>
    </w:p>
    <w:p>
      <w:pPr>
        <w:keepLines/>
        <w:shd w:fill="F4F5F7" w:color="auto" w:val="clear"/>
        <w:spacing w:after="0" w:before="0" w:line="216"/>
        <w:ind w:left="120" w:right="120"/>
      </w:pPr>
      <w:r>
        <w:rPr>
          <w:rFonts w:ascii="Consolas" w:cs="Consolas" w:eastAsia="Consolas" w:hAnsi="Consolas"/>
          <w:sz w:val="15"/>
          <w:szCs w:val="15"/>
        </w:rPr>
        <w:t xml:space="preserve">|  | EVENTHOUSE  |                        | SEMANTIC MODEL   |            |</w:t>
      </w:r>
    </w:p>
    <w:p>
      <w:pPr>
        <w:keepLines/>
        <w:shd w:fill="F4F5F7" w:color="auto" w:val="clear"/>
        <w:spacing w:after="0" w:before="0" w:line="216"/>
        <w:ind w:left="120" w:right="120"/>
      </w:pPr>
      <w:r>
        <w:rPr>
          <w:rFonts w:ascii="Consolas" w:cs="Consolas" w:eastAsia="Consolas" w:hAnsi="Consolas"/>
          <w:sz w:val="15"/>
          <w:szCs w:val="15"/>
        </w:rPr>
        <w:t xml:space="preserve">|  | (KQL DB)    |-----------------------&gt;| sm_clinical_ops  |            |</w:t>
      </w:r>
    </w:p>
    <w:p>
      <w:pPr>
        <w:keepLines/>
        <w:shd w:fill="F4F5F7" w:color="auto" w:val="clear"/>
        <w:spacing w:after="0" w:before="0" w:line="216"/>
        <w:ind w:left="120" w:right="120"/>
      </w:pPr>
      <w:r>
        <w:rPr>
          <w:rFonts w:ascii="Consolas" w:cs="Consolas" w:eastAsia="Consolas" w:hAnsi="Consolas"/>
          <w:sz w:val="15"/>
          <w:szCs w:val="15"/>
        </w:rPr>
        <w:t xml:space="preserve">|  | live ADT /  |   OneLake shortcut     | RLS + OLS        |            |</w:t>
      </w:r>
    </w:p>
    <w:p>
      <w:pPr>
        <w:keepLines/>
        <w:shd w:fill="F4F5F7" w:color="auto" w:val="clear"/>
        <w:spacing w:after="0" w:before="0" w:line="216"/>
        <w:ind w:left="120" w:right="120"/>
      </w:pPr>
      <w:r>
        <w:rPr>
          <w:rFonts w:ascii="Consolas" w:cs="Consolas" w:eastAsia="Consolas" w:hAnsi="Consolas"/>
          <w:sz w:val="15"/>
          <w:szCs w:val="15"/>
        </w:rPr>
        <w:t xml:space="preserve">|  | bed census  |                        +--------+---------+            |</w:t>
      </w:r>
    </w:p>
    <w:p>
      <w:pPr>
        <w:keepLines/>
        <w:shd w:fill="F4F5F7" w:color="auto" w:val="clear"/>
        <w:spacing w:after="0" w:before="0" w:line="216"/>
        <w:ind w:left="120" w:right="120"/>
      </w:pPr>
      <w:r>
        <w:rPr>
          <w:rFonts w:ascii="Consolas" w:cs="Consolas" w:eastAsia="Consolas" w:hAnsi="Consolas"/>
          <w:sz w:val="15"/>
          <w:szCs w:val="15"/>
        </w:rPr>
        <w:t xml:space="preserve">|  +-------------+                                 |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v                          v                       v</w:t>
      </w:r>
    </w:p>
    <w:p>
      <w:pPr>
        <w:keepLines/>
        <w:shd w:fill="F4F5F7" w:color="auto" w:val="clear"/>
        <w:spacing w:after="0" w:before="0" w:line="216"/>
        <w:ind w:left="120" w:right="120"/>
      </w:pPr>
      <w:r>
        <w:rPr>
          <w:rFonts w:ascii="Consolas" w:cs="Consolas" w:eastAsia="Consolas" w:hAnsi="Consolas"/>
          <w:sz w:val="15"/>
          <w:szCs w:val="15"/>
        </w:rPr>
        <w:t xml:space="preserve">   [Power BI reports]        [Real-Time Dashboard]      [Activator rules]</w:t>
      </w:r>
    </w:p>
    <w:p>
      <w:pPr>
        <w:keepLines/>
        <w:shd w:fill="F4F5F7" w:color="auto" w:val="clear"/>
        <w:spacing w:after="0" w:before="0" w:line="216"/>
        <w:ind w:left="120" w:right="120"/>
      </w:pPr>
      <w:r>
        <w:rPr>
          <w:rFonts w:ascii="Consolas" w:cs="Consolas" w:eastAsia="Consolas" w:hAnsi="Consolas"/>
          <w:sz w:val="15"/>
          <w:szCs w:val="15"/>
        </w:rPr>
        <w:t xml:space="preserve">    ALOS, readmissions,       ED census, bed             threshold alerts</w:t>
      </w:r>
    </w:p>
    <w:p>
      <w:pPr>
        <w:keepLines/>
        <w:shd w:fill="F4F5F7" w:color="auto" w:val="clear"/>
        <w:spacing w:after="0" w:before="0" w:line="216"/>
        <w:ind w:left="120" w:right="120"/>
      </w:pPr>
      <w:r>
        <w:rPr>
          <w:rFonts w:ascii="Consolas" w:cs="Consolas" w:eastAsia="Consolas" w:hAnsi="Consolas"/>
          <w:sz w:val="15"/>
          <w:szCs w:val="15"/>
        </w:rPr>
        <w:t xml:space="preserve">    volume by department      occupancy, boarding        -&gt; Teams / email</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GOVERNANCE PLANE (spans all layers): Microsoft Entra ID groups,</w:t>
      </w:r>
    </w:p>
    <w:p>
      <w:pPr>
        <w:keepLines/>
        <w:shd w:fill="F4F5F7" w:color="auto" w:val="clear"/>
        <w:spacing w:after="0" w:before="0" w:line="216"/>
        <w:ind w:left="120" w:right="120"/>
      </w:pPr>
      <w:r>
        <w:rPr>
          <w:rFonts w:ascii="Consolas" w:cs="Consolas" w:eastAsia="Consolas" w:hAnsi="Consolas"/>
          <w:sz w:val="15"/>
          <w:szCs w:val="15"/>
        </w:rPr>
        <w:t xml:space="preserve">   Purview sensitivity labels, workspace roles, RLS/OLS/CLS, audit log</w:t>
      </w:r>
    </w:p>
    <w:p>
      <w:pPr>
        <w:keepLines/>
        <w:shd w:fill="F4F5F7" w:color="auto" w:val="clear"/>
        <w:spacing w:after="180" w:before="0" w:line="216"/>
        <w:ind w:left="120" w:right="120"/>
      </w:pPr>
      <w:r>
        <w:rPr>
          <w:rFonts w:ascii="Consolas" w:cs="Consolas" w:eastAsia="Consolas" w:hAnsi="Consolas"/>
          <w:sz w:val="15"/>
          <w:szCs w:val="15"/>
        </w:rPr>
        <w:t xml:space="preserve">   export to the security information and event management (SIEM) system.</w:t>
      </w:r>
    </w:p>
    <w:p>
      <w:pPr>
        <w:spacing w:after="200" w:before="60"/>
        <w:jc w:val="center"/>
      </w:pPr>
      <w:r>
        <w:rPr>
          <w:rFonts w:ascii="Calibri" w:cs="Calibri" w:eastAsia="Calibri" w:hAnsi="Calibri"/>
          <w:b w:val="false"/>
          <w:bCs w:val="false"/>
          <w:i/>
          <w:iCs/>
          <w:color w:val="595959"/>
          <w:sz w:val="18"/>
          <w:szCs w:val="18"/>
        </w:rPr>
        <w:t xml:space="preserve">Figure 1 — Logical architecture, source systems through consumption.</w:t>
      </w:r>
    </w:p>
    <w:p>
      <w:pPr>
        <w:pStyle w:val="Heading2"/>
        <w:spacing w:after="120" w:before="260"/>
      </w:pPr>
      <w:r>
        <w:rPr>
          <w:rFonts w:ascii="Calibri" w:cs="Calibri" w:eastAsia="Calibri" w:hAnsi="Calibri"/>
          <w:b/>
          <w:bCs/>
          <w:color w:val="2F5496"/>
          <w:sz w:val="26"/>
          <w:szCs w:val="26"/>
        </w:rPr>
        <w:t xml:space="preserve">2.2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4160"/>
        <w:gridCol w:w="15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Component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Fabric Item Type</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Purpose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Owner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lh_bronze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Lakehouse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Immutable landing zone for raw EHR encounter extracts, partitioned by load 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lh_silver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Lakehouse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Cleansed, deduplicated, terminology-mapped clinical entities at encounter grain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Lakehouse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Conformed star schema and pre-aggregated clinical KPI tables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pl_ehr_daily_load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Pipeline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orchestration: extract, validate, transform, publish, notify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cj_ehr_encounters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Copy Job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Incremental extract of encounter and related detail tables from the EHR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nb_silver_*, nb_gold_*</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Notebook (PySpark)</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Standardization, deduplication, dimensional build, KPI aggregation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df_reference_codes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Dataflow Gen2</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Analyst-maintained reference and mapping tables (low volume, monthly)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Informatics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es_adt_stream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Eventstream</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Continuous ingestion and parsing of HL7 v2 ADT messages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Integration Team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eh_clinical_rt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Eventhouse (KQL)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Time-series store for live census, bed status, and boarding events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sm_clinical_ops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Semantic Model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Certified Direct Lake model carrying all approved KPI definitions, RLS and OLS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rpt_* (report set)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Power BI Report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Executive, hospital, department, and ED throughput reports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rtd_capacity_now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Real-Time Dashboard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Live census and bed occupancy for house supervisors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act_ops_alerts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Activator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Threshold alerting on census, boarding time, and data freshness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Operations</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2.3 Data Flow: Sources to Reports</w:t>
      </w:r>
    </w:p>
    <w:p>
      <w:pPr>
        <w:spacing w:after="140" w:line="276"/>
        <w:jc w:val="both"/>
      </w:pPr>
      <w:r>
        <w:rPr>
          <w:rFonts w:ascii="Calibri" w:cs="Calibri" w:eastAsia="Calibri" w:hAnsi="Calibri"/>
          <w:b w:val="false"/>
          <w:bCs w:val="false"/>
          <w:i w:val="false"/>
          <w:iCs w:val="false"/>
          <w:sz w:val="22"/>
          <w:szCs w:val="22"/>
        </w:rPr>
        <w:t xml:space="preserve">The following walkthrough describes Figure 1 in narrative form.</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Extraction. At 01:00 local time, pipeline pl_ehr_daily_load starts. A Copy Job reads changed rows from the EHR clinical data warehouse using a high-water mark on the source last-modified timestamp, stored in a control table in lh_bronze. Each of the twelve hospitals is a partition of the same logical extract; the pipeline uses a ForEach over the hospital list with a bounded concurrency of four to avoid saturating the source system during its own maintenance window.</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Bronze landing. Rows land in lh_bronze as Delta tables, appended without modification and stamped with technical audit columns: source system, extract batch identifier, source file or query fingerprint, and ingestion timestamp. Bronze is never edited or corrected in place. If a source correction arrives, it lands as a new row, and silver resolves precedence. This preserves an accurate record of what the EHR asserted at each point in time, which matters both for clinical defensibility and for HIPAA audit.</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Silver standardization. PySpark notebooks read new bronze partitions and write conformed tables to lh_silver. This layer performs date and time normalization to a single time zone convention, terminology mapping to standard code sets, deduplication to one row per encounter using the enterprise patient identifier and source encounter identifier, referential validation against dimension sources, and rejection of records failing mandatory-field or plausibility checks into a quarantine table for steward review.</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Gold modelling. A second notebook set builds the conformed star schema in lh_gold — dimensions for patient, provider, department, hospital, date, diagnosis, and disposition, and fact tables at encounter grain plus daily census grain — and then materializes the pre-aggregated KPI tables that back the highest-traffic report pages. Identifiable patient attributes are written to a separate restricted schema (referred to in this document as the PHI vault) rather than being mixed into the general dimension tables.</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Semantic model refresh. The certified semantic model sm_clinical_ops sits directly on gold Delta tables in Direct Lake mode, so no data copy or scheduled import refresh is required; the pipeline issues a framing operation at the end of the run so the model picks up the new Delta version. RLS roles and OLS rules are defined in the model and evaluated per user at query time.</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Consumption. Power BI reports connect live to the certified model. A separate real-time dashboard queries the Eventhouse for live census. Activator rules watch both paths and raise alerts to Teams and email when thresholds are crossed — including a data-freshness rule that fires if gold has not been updated by 06:00.</w:t>
      </w:r>
    </w:p>
    <w:p>
      <w:pPr>
        <w:pStyle w:val="ListParagraph"/>
        <w:numPr>
          <w:ilvl w:val="0"/>
          <w:numId w:val="4"/>
        </w:numPr>
        <w:spacing w:after="110" w:line="276"/>
      </w:pPr>
      <w:r>
        <w:rPr>
          <w:rFonts w:ascii="Calibri" w:cs="Calibri" w:eastAsia="Calibri" w:hAnsi="Calibri"/>
          <w:b w:val="false"/>
          <w:bCs w:val="false"/>
          <w:i w:val="false"/>
          <w:iCs w:val="false"/>
          <w:sz w:val="22"/>
          <w:szCs w:val="22"/>
        </w:rPr>
        <w:t xml:space="preserve">Notification and close-out. The pipeline writes run statistics to an operational log table, posts a completion summary to the data engineering Teams channel, and, on failure, raises an incident through the process defined in Section 6.2.</w:t>
      </w:r>
    </w:p>
    <w:p>
      <w:pPr>
        <w:pStyle w:val="Heading2"/>
        <w:spacing w:after="120" w:before="260"/>
      </w:pPr>
      <w:r>
        <w:rPr>
          <w:rFonts w:ascii="Calibri" w:cs="Calibri" w:eastAsia="Calibri" w:hAnsi="Calibri"/>
          <w:b/>
          <w:bCs/>
          <w:color w:val="2F5496"/>
          <w:sz w:val="26"/>
          <w:szCs w:val="26"/>
        </w:rPr>
        <w:t xml:space="preserve">2.4 Ingestion Approach and Rationale</w:t>
      </w:r>
    </w:p>
    <w:p>
      <w:pPr>
        <w:spacing w:after="140" w:line="276"/>
        <w:jc w:val="both"/>
      </w:pPr>
      <w:r>
        <w:rPr>
          <w:rFonts w:ascii="Calibri" w:cs="Calibri" w:eastAsia="Calibri" w:hAnsi="Calibri"/>
          <w:b w:val="false"/>
          <w:bCs w:val="false"/>
          <w:i w:val="false"/>
          <w:iCs w:val="false"/>
          <w:sz w:val="22"/>
          <w:szCs w:val="22"/>
        </w:rPr>
        <w:t xml:space="preserve">Fabric offers three principal ingestion mechanisms. They are not interchangeable, and the choice materially affects refresh duration, capacity consumption, and maintainability. The table below records the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60"/>
        <w:gridCol w:w="19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Mechanism</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Strengths</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Limitations for this Workload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Verdict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Pipeline (Data Factory)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Full orchestration: parameterization, ForEach over hospitals, conditional logic, retries, failure handling, notebook and Copy activity invocation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itself a transformation engine; needs notebooks for real cleansing work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Selected as the orchestrator for the entire nightly load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Copy Job</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Purpose-built for repeatable incremental copy; native change-data-capture and watermark handling; low authoring overhead; efficient on large tables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Copy only — no transformation; limited to supported source connectors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Selected for the bulk EHR extract and EMPI/registry extract, invoked by the pipeline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Dataflow Gen2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Low-code Power Query authoring accessible to clinical informatics analysts; good for small, business-curated data</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Higher CU cost per row at volume; harder to unit test and code-review; performance degrades on large clinical fact loads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Restricted to small reference and mapping tables owned by informatics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Eventstream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Continuous ingestion of HL7 v2 ADT with sub-minute latency into Eventhouse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appropriate for bulk historical clinical detail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Selected for the real-time ADT path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Notebook (PySpark)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Full expressive power for deduplication, terminology mapping, and dimensional builds; testable, reviewable, source-controlled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Requires engineering skill set; not analyst-authored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Selected for all bronze-to-silver and silver-to-gold transformation</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Recommendation: a Data Factory pipeline orchestrates the nightly run; Copy Job performs the incremental EHR extract into bronze; PySpark notebooks perform all transformation; Dataflow Gen2 is permitted only for low-volume reference data maintained by clinical informatics; Eventstream serves the real-time ADT path. This split gives engineering-grade control over the clinical data path while still allowing informatics analysts to maintain mapping tables without filing engineering tickets.</w:t>
      </w:r>
    </w:p>
    <w:p>
      <w:pPr>
        <w:spacing w:after="140" w:line="276"/>
        <w:jc w:val="both"/>
      </w:pPr>
      <w:r>
        <w:rPr>
          <w:rFonts w:ascii="Calibri" w:cs="Calibri" w:eastAsia="Calibri" w:hAnsi="Calibri"/>
          <w:b w:val="false"/>
          <w:bCs w:val="false"/>
          <w:i w:val="false"/>
          <w:iCs w:val="false"/>
          <w:sz w:val="22"/>
          <w:szCs w:val="22"/>
        </w:rPr>
        <w:t xml:space="preserve">Incremental strategy: the extract is watermark-based on the source last-modified timestamp, with a deliberate 48-hour lookback window on each run. Clinical source systems routinely backdate corrections — a coding update or a late discharge disposition entered two days after the fact — and a naive high-water mark would silently miss them. Silver applies last-write-wins precedence within the lookback window, so restated records correct themselves without a full reload.</w:t>
      </w:r>
    </w:p>
    <w:p>
      <w:pPr>
        <w:pStyle w:val="Heading2"/>
        <w:spacing w:after="120" w:before="260"/>
      </w:pPr>
      <w:r>
        <w:rPr>
          <w:rFonts w:ascii="Calibri" w:cs="Calibri" w:eastAsia="Calibri" w:hAnsi="Calibri"/>
          <w:b/>
          <w:bCs/>
          <w:color w:val="2F5496"/>
          <w:sz w:val="26"/>
          <w:szCs w:val="26"/>
        </w:rPr>
        <w:t xml:space="preserve">2.5 Medallion Layer Design for Clinical Data</w:t>
      </w:r>
    </w:p>
    <w:p>
      <w:pPr>
        <w:pStyle w:val="Heading3"/>
        <w:spacing w:after="100" w:before="200"/>
      </w:pPr>
      <w:r>
        <w:rPr>
          <w:rFonts w:ascii="Calibri" w:cs="Calibri" w:eastAsia="Calibri" w:hAnsi="Calibri"/>
          <w:b/>
          <w:bCs/>
          <w:color w:val="2F5496"/>
          <w:sz w:val="23"/>
          <w:szCs w:val="23"/>
        </w:rPr>
        <w:t xml:space="preserve">Bronze — raw clinical capture</w:t>
      </w:r>
    </w:p>
    <w:p>
      <w:pPr>
        <w:spacing w:after="140" w:line="276"/>
        <w:jc w:val="both"/>
      </w:pPr>
      <w:r>
        <w:rPr>
          <w:rFonts w:ascii="Calibri" w:cs="Calibri" w:eastAsia="Calibri" w:hAnsi="Calibri"/>
          <w:b w:val="false"/>
          <w:bCs w:val="false"/>
          <w:i w:val="false"/>
          <w:iCs w:val="false"/>
          <w:sz w:val="22"/>
          <w:szCs w:val="22"/>
        </w:rPr>
        <w:t xml:space="preserve">Bronze is an append-only, schema-on-read reproduction of what the source supplied, with no business logic applied. Tables are partitioned by ingestion date. Retention is seven years to align with the network medical record retention policy, with data older than thirteen months moved to cool storage. Bronze is accessible only to the data engineering service principal and to break-glass administrators; no analyst and no report ever reads bronze.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Bronze Table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Grain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Approximate Daily Rows</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Notes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br_encounter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 row per encounter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9,000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Inpatient, observation, ED, and outpatient encounters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br_encounter_diagnosis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 × diagnosis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95,000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Includes present-on-admission indicator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br_encounter_procedure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 × procedure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38,000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CPT and ICD-10-PCS as supplied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br_adt_event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ADT event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52,000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Admission, transfer, discharge, bed assignment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br_patient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Patient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11,000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Contains raw identifiers; most restricted table on the platform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br_provider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Provider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Includes department and service line attribution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br_department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department, service line hierarchy</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00" w:before="200"/>
      </w:pPr>
      <w:r>
        <w:rPr>
          <w:rFonts w:ascii="Calibri" w:cs="Calibri" w:eastAsia="Calibri" w:hAnsi="Calibri"/>
          <w:b/>
          <w:bCs/>
          <w:color w:val="2F5496"/>
          <w:sz w:val="23"/>
          <w:szCs w:val="23"/>
        </w:rPr>
        <w:t xml:space="preserve">Silver — conformed clinical data</w:t>
      </w:r>
    </w:p>
    <w:p>
      <w:pPr>
        <w:spacing w:after="140" w:line="276"/>
        <w:jc w:val="both"/>
      </w:pPr>
      <w:r>
        <w:rPr>
          <w:rFonts w:ascii="Calibri" w:cs="Calibri" w:eastAsia="Calibri" w:hAnsi="Calibri"/>
          <w:b w:val="false"/>
          <w:bCs w:val="false"/>
          <w:i w:val="false"/>
          <w:iCs w:val="false"/>
          <w:sz w:val="22"/>
          <w:szCs w:val="22"/>
        </w:rPr>
        <w:t xml:space="preserve">Silver applies the standardization rules that make twelve hospitals comparable. The specific transformations are: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Date and time normalization. All timestamps are stored in Coordinated Universal Time with a companion local-time column and the site time zone, so overnight boundaries and daylight-saving transitions do not distort length-of-stay or arrival-hour analysis.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Terminology mapping. Site-local codes for department, encounter class, discharge disposition, and admission source are mapped to the network standard value set. Unmapped codes are routed to a quarantine table and reported daily to clinical informatics rather than silently defaulted, because a silent default here corrupts the very comparisons the platform exists to make.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Deduplication. One row per encounter is retained, keyed on enterprise patient identifier plus source encounter identifier, resolving to the most recent source version within the lookback window.</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Patient identity resolution. The EMPI enterprise identifier is attached to every encounter so that a patient treated at Hospital A and readmitted to Hospital B is recognized as one person — a prerequisite for network-level readmission measurement.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Clinical validity checks. Discharge before admission, negative length of stay, implausible ages, and encounters referencing unknown departments are rejected to quarantine with a reason code.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PHI segregation begins here. Direct identifiers are written to a restricted silver schema, and downstream tables carry surrogate keys, so the default path for any consumer is de-identified.</w:t>
      </w:r>
    </w:p>
    <w:p>
      <w:pPr>
        <w:pStyle w:val="Heading3"/>
        <w:spacing w:after="100" w:before="200"/>
      </w:pPr>
      <w:r>
        <w:rPr>
          <w:rFonts w:ascii="Calibri" w:cs="Calibri" w:eastAsia="Calibri" w:hAnsi="Calibri"/>
          <w:b/>
          <w:bCs/>
          <w:color w:val="2F5496"/>
          <w:sz w:val="23"/>
          <w:szCs w:val="23"/>
        </w:rPr>
        <w:t xml:space="preserve">Gold — clinical KPI layer</w:t>
      </w:r>
    </w:p>
    <w:p>
      <w:pPr>
        <w:spacing w:after="140" w:line="276"/>
        <w:jc w:val="both"/>
      </w:pPr>
      <w:r>
        <w:rPr>
          <w:rFonts w:ascii="Calibri" w:cs="Calibri" w:eastAsia="Calibri" w:hAnsi="Calibri"/>
          <w:b w:val="false"/>
          <w:bCs w:val="false"/>
          <w:i w:val="false"/>
          <w:iCs w:val="false"/>
          <w:sz w:val="22"/>
          <w:szCs w:val="22"/>
        </w:rPr>
        <w:t xml:space="preserve">Gold is a Kimball-style star schema plus a small set of aggregate tables. The fact tables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28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Gold Table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Grain</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Supports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fact_encounter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 row per completed encounter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ALOS, volume, disposition mix, observation conversion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fact_daily_census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Periodic snapshot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 department × date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Occupancy, midnight census, staffed-bed utilization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fact_readmission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Accumulating snapshot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Index discharge with linked readmission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30-day unplanned readmission rate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fact_ed_throughput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Fact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 row per ED encounter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Door-to-provider, ED LOS, boarding, LWBS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dim_patient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Dimension (SCD-2)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Patient version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De-identified demographics; identifiers held in vault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dim_provider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Dimension (SCD-2)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Provider version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Provider, department, service line attribution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dim_department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Dimension (SCD-2)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 version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department, service line hierarchy; drives RLS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dim_hospital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Dimension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Site, region, bed size, teaching status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dim_date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Dimension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Calendar date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Fiscal calendar, day of week, holiday flag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agg_kpi_dept_day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Aggregate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 department × date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Pre-aggregated headline KPIs for fast page loads</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Gold tables are written with V-Order optimization enabled and OPTIMIZE with compaction run after each load, so that Direct Lake queries read a small number of well-sized row groups rather than many small files. Partitioning is by discharge date for encounter facts and by census date for the snapshot fact.</w:t>
      </w:r>
    </w:p>
    <w:p>
      <w:pPr>
        <w:pStyle w:val="Heading2"/>
        <w:spacing w:after="120" w:before="260"/>
      </w:pPr>
      <w:r>
        <w:rPr>
          <w:rFonts w:ascii="Calibri" w:cs="Calibri" w:eastAsia="Calibri" w:hAnsi="Calibri"/>
          <w:b/>
          <w:bCs/>
          <w:color w:val="2F5496"/>
          <w:sz w:val="26"/>
          <w:szCs w:val="26"/>
        </w:rPr>
        <w:t xml:space="preserve">2.6 Semantic Model Design</w:t>
      </w:r>
    </w:p>
    <w:p>
      <w:pPr>
        <w:spacing w:after="140" w:line="276"/>
        <w:jc w:val="both"/>
      </w:pPr>
      <w:r>
        <w:rPr>
          <w:rFonts w:ascii="Calibri" w:cs="Calibri" w:eastAsia="Calibri" w:hAnsi="Calibri"/>
          <w:b w:val="false"/>
          <w:bCs w:val="false"/>
          <w:i w:val="false"/>
          <w:iCs w:val="false"/>
          <w:sz w:val="22"/>
          <w:szCs w:val="22"/>
        </w:rPr>
        <w:t xml:space="preserve">One certified semantic model, sm_clinical_ops, serves all reports. It is deliberately singular: multiple models would reintroduce exactly the metric divergence the platform exists to eliminate. The model is configured in Direct Lake mode over gold, with a fallback to DirectQuery disabled so that a silent fallback cannot degrade performance without anyone noticing.</w:t>
      </w:r>
    </w:p>
    <w:p>
      <w:pPr>
        <w:spacing w:after="140" w:line="276"/>
        <w:jc w:val="both"/>
      </w:pPr>
      <w:r>
        <w:rPr>
          <w:rFonts w:ascii="Calibri" w:cs="Calibri" w:eastAsia="Calibri" w:hAnsi="Calibri"/>
          <w:b w:val="false"/>
          <w:bCs w:val="false"/>
          <w:i w:val="false"/>
          <w:iCs w:val="false"/>
          <w:sz w:val="22"/>
          <w:szCs w:val="22"/>
        </w:rPr>
        <w:t xml:space="preserve">Model structure follows a strict star: fact tables related to dimensions on surrogate keys, single-direction filters from dimension to fact, no bidirectional relationships except through the security bridge described in Section 3.5, and no calculated columns on fact tables. Representative measure definitions:</w:t>
      </w:r>
    </w:p>
    <w:p>
      <w:pPr>
        <w:keepLines/>
        <w:shd w:fill="F4F5F7" w:color="auto" w:val="clear"/>
        <w:spacing w:after="0" w:before="100" w:line="216"/>
        <w:ind w:left="120" w:right="120"/>
      </w:pPr>
      <w:r>
        <w:rPr>
          <w:rFonts w:ascii="Consolas" w:cs="Consolas" w:eastAsia="Consolas" w:hAnsi="Consolas"/>
          <w:sz w:val="15"/>
          <w:szCs w:val="15"/>
        </w:rPr>
        <w:t xml:space="preserve">Discharges =</w:t>
      </w:r>
    </w:p>
    <w:p>
      <w:pPr>
        <w:keepLines/>
        <w:shd w:fill="F4F5F7" w:color="auto" w:val="clear"/>
        <w:spacing w:after="0" w:before="0" w:line="216"/>
        <w:ind w:left="120" w:right="120"/>
      </w:pPr>
      <w:r>
        <w:rPr>
          <w:rFonts w:ascii="Consolas" w:cs="Consolas" w:eastAsia="Consolas" w:hAnsi="Consolas"/>
          <w:sz w:val="15"/>
          <w:szCs w:val="15"/>
        </w:rPr>
        <w:t xml:space="preserve">    CALCULATE(</w:t>
      </w:r>
    </w:p>
    <w:p>
      <w:pPr>
        <w:keepLines/>
        <w:shd w:fill="F4F5F7" w:color="auto" w:val="clear"/>
        <w:spacing w:after="0" w:before="0" w:line="216"/>
        <w:ind w:left="120" w:right="120"/>
      </w:pPr>
      <w:r>
        <w:rPr>
          <w:rFonts w:ascii="Consolas" w:cs="Consolas" w:eastAsia="Consolas" w:hAnsi="Consolas"/>
          <w:sz w:val="15"/>
          <w:szCs w:val="15"/>
        </w:rPr>
        <w:t xml:space="preserve">        COUNTROWS( fact_encounter ),</w:t>
      </w:r>
    </w:p>
    <w:p>
      <w:pPr>
        <w:keepLines/>
        <w:shd w:fill="F4F5F7" w:color="auto" w:val="clear"/>
        <w:spacing w:after="0" w:before="0" w:line="216"/>
        <w:ind w:left="120" w:right="120"/>
      </w:pPr>
      <w:r>
        <w:rPr>
          <w:rFonts w:ascii="Consolas" w:cs="Consolas" w:eastAsia="Consolas" w:hAnsi="Consolas"/>
          <w:sz w:val="15"/>
          <w:szCs w:val="15"/>
        </w:rPr>
        <w:t xml:space="preserve">        fact_encounter[EncounterStatus] = "Discharged",</w:t>
      </w:r>
    </w:p>
    <w:p>
      <w:pPr>
        <w:keepLines/>
        <w:shd w:fill="F4F5F7" w:color="auto" w:val="clear"/>
        <w:spacing w:after="0" w:before="0" w:line="216"/>
        <w:ind w:left="120" w:right="120"/>
      </w:pPr>
      <w:r>
        <w:rPr>
          <w:rFonts w:ascii="Consolas" w:cs="Consolas" w:eastAsia="Consolas" w:hAnsi="Consolas"/>
          <w:sz w:val="15"/>
          <w:szCs w:val="15"/>
        </w:rPr>
        <w:t xml:space="preserve">        fact_encounter[EncounterClass] IN { "Inpatient", "Observation"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Patient Days =</w:t>
      </w:r>
    </w:p>
    <w:p>
      <w:pPr>
        <w:keepLines/>
        <w:shd w:fill="F4F5F7" w:color="auto" w:val="clear"/>
        <w:spacing w:after="0" w:before="0" w:line="216"/>
        <w:ind w:left="120" w:right="120"/>
      </w:pPr>
      <w:r>
        <w:rPr>
          <w:rFonts w:ascii="Consolas" w:cs="Consolas" w:eastAsia="Consolas" w:hAnsi="Consolas"/>
          <w:sz w:val="15"/>
          <w:szCs w:val="15"/>
        </w:rPr>
        <w:t xml:space="preserve">    SUM( fact_encounter[LengthOfStayDays]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Average Length of Stay =</w:t>
      </w:r>
    </w:p>
    <w:p>
      <w:pPr>
        <w:keepLines/>
        <w:shd w:fill="F4F5F7" w:color="auto" w:val="clear"/>
        <w:spacing w:after="0" w:before="0" w:line="216"/>
        <w:ind w:left="120" w:right="120"/>
      </w:pPr>
      <w:r>
        <w:rPr>
          <w:rFonts w:ascii="Consolas" w:cs="Consolas" w:eastAsia="Consolas" w:hAnsi="Consolas"/>
          <w:sz w:val="15"/>
          <w:szCs w:val="15"/>
        </w:rPr>
        <w:t xml:space="preserve">    DIVIDE( [Patient Days], [Discharges]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Index Discharges =</w:t>
      </w:r>
    </w:p>
    <w:p>
      <w:pPr>
        <w:keepLines/>
        <w:shd w:fill="F4F5F7" w:color="auto" w:val="clear"/>
        <w:spacing w:after="0" w:before="0" w:line="216"/>
        <w:ind w:left="120" w:right="120"/>
      </w:pPr>
      <w:r>
        <w:rPr>
          <w:rFonts w:ascii="Consolas" w:cs="Consolas" w:eastAsia="Consolas" w:hAnsi="Consolas"/>
          <w:sz w:val="15"/>
          <w:szCs w:val="15"/>
        </w:rPr>
        <w:t xml:space="preserve">    CALCULATE(</w:t>
      </w:r>
    </w:p>
    <w:p>
      <w:pPr>
        <w:keepLines/>
        <w:shd w:fill="F4F5F7" w:color="auto" w:val="clear"/>
        <w:spacing w:after="0" w:before="0" w:line="216"/>
        <w:ind w:left="120" w:right="120"/>
      </w:pPr>
      <w:r>
        <w:rPr>
          <w:rFonts w:ascii="Consolas" w:cs="Consolas" w:eastAsia="Consolas" w:hAnsi="Consolas"/>
          <w:sz w:val="15"/>
          <w:szCs w:val="15"/>
        </w:rPr>
        <w:t xml:space="preserve">        COUNTROWS( fact_readmission ),</w:t>
      </w:r>
    </w:p>
    <w:p>
      <w:pPr>
        <w:keepLines/>
        <w:shd w:fill="F4F5F7" w:color="auto" w:val="clear"/>
        <w:spacing w:after="0" w:before="0" w:line="216"/>
        <w:ind w:left="120" w:right="120"/>
      </w:pPr>
      <w:r>
        <w:rPr>
          <w:rFonts w:ascii="Consolas" w:cs="Consolas" w:eastAsia="Consolas" w:hAnsi="Consolas"/>
          <w:sz w:val="15"/>
          <w:szCs w:val="15"/>
        </w:rPr>
        <w:t xml:space="preserve">        fact_readmission[IsEligibleIndex] = TRUE()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30-Day Unplanned Readmissions =</w:t>
      </w:r>
    </w:p>
    <w:p>
      <w:pPr>
        <w:keepLines/>
        <w:shd w:fill="F4F5F7" w:color="auto" w:val="clear"/>
        <w:spacing w:after="0" w:before="0" w:line="216"/>
        <w:ind w:left="120" w:right="120"/>
      </w:pPr>
      <w:r>
        <w:rPr>
          <w:rFonts w:ascii="Consolas" w:cs="Consolas" w:eastAsia="Consolas" w:hAnsi="Consolas"/>
          <w:sz w:val="15"/>
          <w:szCs w:val="15"/>
        </w:rPr>
        <w:t xml:space="preserve">    CALCULATE(</w:t>
      </w:r>
    </w:p>
    <w:p>
      <w:pPr>
        <w:keepLines/>
        <w:shd w:fill="F4F5F7" w:color="auto" w:val="clear"/>
        <w:spacing w:after="0" w:before="0" w:line="216"/>
        <w:ind w:left="120" w:right="120"/>
      </w:pPr>
      <w:r>
        <w:rPr>
          <w:rFonts w:ascii="Consolas" w:cs="Consolas" w:eastAsia="Consolas" w:hAnsi="Consolas"/>
          <w:sz w:val="15"/>
          <w:szCs w:val="15"/>
        </w:rPr>
        <w:t xml:space="preserve">        COUNTROWS( fact_readmission ),</w:t>
      </w:r>
    </w:p>
    <w:p>
      <w:pPr>
        <w:keepLines/>
        <w:shd w:fill="F4F5F7" w:color="auto" w:val="clear"/>
        <w:spacing w:after="0" w:before="0" w:line="216"/>
        <w:ind w:left="120" w:right="120"/>
      </w:pPr>
      <w:r>
        <w:rPr>
          <w:rFonts w:ascii="Consolas" w:cs="Consolas" w:eastAsia="Consolas" w:hAnsi="Consolas"/>
          <w:sz w:val="15"/>
          <w:szCs w:val="15"/>
        </w:rPr>
        <w:t xml:space="preserve">        fact_readmission[IsEligibleIndex] = TRUE(),</w:t>
      </w:r>
    </w:p>
    <w:p>
      <w:pPr>
        <w:keepLines/>
        <w:shd w:fill="F4F5F7" w:color="auto" w:val="clear"/>
        <w:spacing w:after="0" w:before="0" w:line="216"/>
        <w:ind w:left="120" w:right="120"/>
      </w:pPr>
      <w:r>
        <w:rPr>
          <w:rFonts w:ascii="Consolas" w:cs="Consolas" w:eastAsia="Consolas" w:hAnsi="Consolas"/>
          <w:sz w:val="15"/>
          <w:szCs w:val="15"/>
        </w:rPr>
        <w:t xml:space="preserve">        fact_readmission[ReadmitWithin30Days] = TRUE(),</w:t>
      </w:r>
    </w:p>
    <w:p>
      <w:pPr>
        <w:keepLines/>
        <w:shd w:fill="F4F5F7" w:color="auto" w:val="clear"/>
        <w:spacing w:after="0" w:before="0" w:line="216"/>
        <w:ind w:left="120" w:right="120"/>
      </w:pPr>
      <w:r>
        <w:rPr>
          <w:rFonts w:ascii="Consolas" w:cs="Consolas" w:eastAsia="Consolas" w:hAnsi="Consolas"/>
          <w:sz w:val="15"/>
          <w:szCs w:val="15"/>
        </w:rPr>
        <w:t xml:space="preserve">        fact_readmission[IsPlannedReadmission] = FALSE()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30-Day Readmission Rate =</w:t>
      </w:r>
    </w:p>
    <w:p>
      <w:pPr>
        <w:keepLines/>
        <w:shd w:fill="F4F5F7" w:color="auto" w:val="clear"/>
        <w:spacing w:after="0" w:before="0" w:line="216"/>
        <w:ind w:left="120" w:right="120"/>
      </w:pPr>
      <w:r>
        <w:rPr>
          <w:rFonts w:ascii="Consolas" w:cs="Consolas" w:eastAsia="Consolas" w:hAnsi="Consolas"/>
          <w:sz w:val="15"/>
          <w:szCs w:val="15"/>
        </w:rPr>
        <w:t xml:space="preserve">    DIVIDE( [30-Day Unplanned Readmissions], [Index Discharges]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Encounter Volume =</w:t>
      </w:r>
    </w:p>
    <w:p>
      <w:pPr>
        <w:keepLines/>
        <w:shd w:fill="F4F5F7" w:color="auto" w:val="clear"/>
        <w:spacing w:after="0" w:before="0" w:line="216"/>
        <w:ind w:left="120" w:right="120"/>
      </w:pPr>
      <w:r>
        <w:rPr>
          <w:rFonts w:ascii="Consolas" w:cs="Consolas" w:eastAsia="Consolas" w:hAnsi="Consolas"/>
          <w:sz w:val="15"/>
          <w:szCs w:val="15"/>
        </w:rPr>
        <w:t xml:space="preserve">    COUNTROWS( fact_encounter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Occupancy Rate =</w:t>
      </w:r>
    </w:p>
    <w:p>
      <w:pPr>
        <w:keepLines/>
        <w:shd w:fill="F4F5F7" w:color="auto" w:val="clear"/>
        <w:spacing w:after="0" w:before="0" w:line="216"/>
        <w:ind w:left="120" w:right="120"/>
      </w:pPr>
      <w:r>
        <w:rPr>
          <w:rFonts w:ascii="Consolas" w:cs="Consolas" w:eastAsia="Consolas" w:hAnsi="Consolas"/>
          <w:sz w:val="15"/>
          <w:szCs w:val="15"/>
        </w:rPr>
        <w:t xml:space="preserve">    DIVIDE(</w:t>
      </w:r>
    </w:p>
    <w:p>
      <w:pPr>
        <w:keepLines/>
        <w:shd w:fill="F4F5F7" w:color="auto" w:val="clear"/>
        <w:spacing w:after="0" w:before="0" w:line="216"/>
        <w:ind w:left="120" w:right="120"/>
      </w:pPr>
      <w:r>
        <w:rPr>
          <w:rFonts w:ascii="Consolas" w:cs="Consolas" w:eastAsia="Consolas" w:hAnsi="Consolas"/>
          <w:sz w:val="15"/>
          <w:szCs w:val="15"/>
        </w:rPr>
        <w:t xml:space="preserve">        SUM( fact_daily_census[MidnightCensus] ),</w:t>
      </w:r>
    </w:p>
    <w:p>
      <w:pPr>
        <w:keepLines/>
        <w:shd w:fill="F4F5F7" w:color="auto" w:val="clear"/>
        <w:spacing w:after="0" w:before="0" w:line="216"/>
        <w:ind w:left="120" w:right="120"/>
      </w:pPr>
      <w:r>
        <w:rPr>
          <w:rFonts w:ascii="Consolas" w:cs="Consolas" w:eastAsia="Consolas" w:hAnsi="Consolas"/>
          <w:sz w:val="15"/>
          <w:szCs w:val="15"/>
        </w:rPr>
        <w:t xml:space="preserve">        SUM( fact_daily_census[StaffedBeds]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Small-cell suppression: never display a rate derived from fewer than</w:t>
      </w:r>
    </w:p>
    <w:p>
      <w:pPr>
        <w:keepLines/>
        <w:shd w:fill="F4F5F7" w:color="auto" w:val="clear"/>
        <w:spacing w:after="0" w:before="0" w:line="216"/>
        <w:ind w:left="120" w:right="120"/>
      </w:pPr>
      <w:r>
        <w:rPr>
          <w:rFonts w:ascii="Consolas" w:cs="Consolas" w:eastAsia="Consolas" w:hAnsi="Consolas"/>
          <w:sz w:val="15"/>
          <w:szCs w:val="15"/>
        </w:rPr>
        <w:t xml:space="preserve">-- 11 encounters, to prevent re-identification in thinly populated</w:t>
      </w:r>
    </w:p>
    <w:p>
      <w:pPr>
        <w:keepLines/>
        <w:shd w:fill="F4F5F7" w:color="auto" w:val="clear"/>
        <w:spacing w:after="0" w:before="0" w:line="216"/>
        <w:ind w:left="120" w:right="120"/>
      </w:pPr>
      <w:r>
        <w:rPr>
          <w:rFonts w:ascii="Consolas" w:cs="Consolas" w:eastAsia="Consolas" w:hAnsi="Consolas"/>
          <w:sz w:val="15"/>
          <w:szCs w:val="15"/>
        </w:rPr>
        <w:t xml:space="preserve">-- department-by-month cells.</w:t>
      </w:r>
    </w:p>
    <w:p>
      <w:pPr>
        <w:keepLines/>
        <w:shd w:fill="F4F5F7" w:color="auto" w:val="clear"/>
        <w:spacing w:after="0" w:before="0" w:line="216"/>
        <w:ind w:left="120" w:right="120"/>
      </w:pPr>
      <w:r>
        <w:rPr>
          <w:rFonts w:ascii="Consolas" w:cs="Consolas" w:eastAsia="Consolas" w:hAnsi="Consolas"/>
          <w:sz w:val="15"/>
          <w:szCs w:val="15"/>
        </w:rPr>
        <w:t xml:space="preserve">30-Day Readmission Rate (Safe) =</w:t>
      </w:r>
    </w:p>
    <w:p>
      <w:pPr>
        <w:keepLines/>
        <w:shd w:fill="F4F5F7" w:color="auto" w:val="clear"/>
        <w:spacing w:after="180" w:before="0" w:line="216"/>
        <w:ind w:left="120" w:right="120"/>
      </w:pPr>
      <w:r>
        <w:rPr>
          <w:rFonts w:ascii="Consolas" w:cs="Consolas" w:eastAsia="Consolas" w:hAnsi="Consolas"/>
          <w:sz w:val="15"/>
          <w:szCs w:val="15"/>
        </w:rPr>
        <w:t xml:space="preserve">    IF( [Index Discharges] &lt; 11, BLANK(), [30-Day Readmission Rate] )</w:t>
      </w:r>
    </w:p>
    <w:p>
      <w:pPr>
        <w:spacing w:after="140" w:line="276"/>
        <w:jc w:val="both"/>
      </w:pPr>
      <w:r>
        <w:rPr>
          <w:rFonts w:ascii="Calibri" w:cs="Calibri" w:eastAsia="Calibri" w:hAnsi="Calibri"/>
          <w:b w:val="false"/>
          <w:bCs w:val="false"/>
          <w:i w:val="false"/>
          <w:iCs w:val="false"/>
          <w:sz w:val="22"/>
          <w:szCs w:val="22"/>
        </w:rPr>
        <w:t xml:space="preserve">The small-cell suppression pattern shown in the final measure is applied to every rate measure exposed at department, provider, or month grain. A readmission rate computed on four encounters is both clinically meaningless and a genuine re-identification risk in a small specialty department, and suppression at the measure layer is more reliable than asking report authors to remember.</w:t>
      </w:r>
    </w:p>
    <w:p>
      <w:pPr>
        <w:pStyle w:val="Heading2"/>
        <w:spacing w:after="120" w:before="260"/>
      </w:pPr>
      <w:r>
        <w:rPr>
          <w:rFonts w:ascii="Calibri" w:cs="Calibri" w:eastAsia="Calibri" w:hAnsi="Calibri"/>
          <w:b/>
          <w:bCs/>
          <w:color w:val="2F5496"/>
          <w:sz w:val="26"/>
          <w:szCs w:val="26"/>
        </w:rPr>
        <w:t xml:space="preserve">2.7 Real-Time Component</w:t>
      </w:r>
    </w:p>
    <w:p>
      <w:pPr>
        <w:spacing w:after="140" w:line="276"/>
        <w:jc w:val="both"/>
      </w:pPr>
      <w:r>
        <w:rPr>
          <w:rFonts w:ascii="Calibri" w:cs="Calibri" w:eastAsia="Calibri" w:hAnsi="Calibri"/>
          <w:b w:val="false"/>
          <w:bCs w:val="false"/>
          <w:i w:val="false"/>
          <w:iCs w:val="false"/>
          <w:sz w:val="22"/>
          <w:szCs w:val="22"/>
        </w:rPr>
        <w:t xml:space="preserve">Length of stay and readmission are retrospective measures and are well served by the nightly batch. Bed occupancy and ED boarding are not — a house supervisor making a bed assignment at 14:00 cannot use last night data. A real-time path is therefore in scope for release 1, but is deliberately narrow.</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Ingestion: the existing integration engine forwards a copy of HL7 v2 ADT messages (A01 admit, A02 transfer, A03 discharge, A08 update, A11/A13 cancellations) to an Eventstream, which parses them to JSON.</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Storage: events land in Eventhouse (KQL database) eh_clinical_rt with a 90-day hot retention, sufficient for operational use; the authoritative long-term record remains the batch path.</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Consumption: a Real-Time Dashboard shows live census by unit, admitted-patients-awaiting-bed count, and boarding duration. Activator rules raise alerts to the house supervisor Teams channel when boarding time exceeds four hours or a unit exceeds ninety-five percent occupancy.</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Reconciliation: the real-time path is explicitly labelled as operational and non-authoritative. Every real-time dashboard carries a footer stating that figures are provisional and that the certified batch model is the system of record for reported metrics. A daily reconciliation job compares real-time census against the batch snapshot and flags variance above two percent for investigation.</w:t>
      </w:r>
    </w:p>
    <w:p>
      <w:pPr>
        <w:spacing w:after="140" w:line="276"/>
        <w:jc w:val="both"/>
      </w:pPr>
      <w:r>
        <w:rPr>
          <w:rFonts w:ascii="Calibri" w:cs="Calibri" w:eastAsia="Calibri" w:hAnsi="Calibri"/>
          <w:b w:val="false"/>
          <w:bCs w:val="false"/>
          <w:i w:val="false"/>
          <w:iCs w:val="false"/>
          <w:sz w:val="22"/>
          <w:szCs w:val="22"/>
        </w:rPr>
        <w:t xml:space="preserve">The same PHI rules apply to the real-time path. The Eventhouse holds the enterprise patient identifier but not patient name or date of birth; the dashboard displays bed and unit-level counts rather than patient-level detail.</w:t>
      </w:r>
    </w:p>
    <w:p>
      <w:pPr>
        <w:pStyle w:val="Heading2"/>
        <w:spacing w:after="120" w:before="260"/>
      </w:pPr>
      <w:r>
        <w:rPr>
          <w:rFonts w:ascii="Calibri" w:cs="Calibri" w:eastAsia="Calibri" w:hAnsi="Calibri"/>
          <w:b/>
          <w:bCs/>
          <w:color w:val="2F5496"/>
          <w:sz w:val="26"/>
          <w:szCs w:val="26"/>
        </w:rPr>
        <w:t xml:space="preserve">2.8 Workspace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3660"/>
        <w:gridCol w:w="18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Workspace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Capacity</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Contents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Git Branch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ws-clinical-dev</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F8 (dev)</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Lakehouses, pipelines, notebooks, model, reports — synthetic and de-identified data only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feature/* and main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ws-clinical-test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F16 (test)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Full item set; masked production-like data volume for validation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main (release candidate)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ws-clinical-prod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F64 (prod)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Full item set; live PHI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main (tagged release)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ws-clinical-rt-prod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F64 (prod)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Eventstream, Eventhouse, real-time dashboard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ws-clinical-sandbox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F8 (dev)</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Analyst exploration on de-identified extracts; not promoted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source-controlled</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Separating the real-time items into their own production workspace lets the streaming path be redeployed or restarted without touching the batch platform, and lets its access list stay smaller.</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3. Security and Governance</w:t>
      </w:r>
    </w:p>
    <w:p>
      <w:pPr>
        <w:pStyle w:val="Heading2"/>
        <w:spacing w:after="120" w:before="260"/>
      </w:pPr>
      <w:r>
        <w:rPr>
          <w:rFonts w:ascii="Calibri" w:cs="Calibri" w:eastAsia="Calibri" w:hAnsi="Calibri"/>
          <w:b/>
          <w:bCs/>
          <w:color w:val="2F5496"/>
          <w:sz w:val="26"/>
          <w:szCs w:val="26"/>
        </w:rPr>
        <w:t xml:space="preserve">3.1 Security Design Principles</w:t>
      </w:r>
    </w:p>
    <w:p>
      <w:pPr>
        <w:spacing w:after="140" w:line="276"/>
        <w:jc w:val="both"/>
      </w:pPr>
      <w:r>
        <w:rPr>
          <w:rFonts w:ascii="Calibri" w:cs="Calibri" w:eastAsia="Calibri" w:hAnsi="Calibri"/>
          <w:b w:val="false"/>
          <w:bCs w:val="false"/>
          <w:i w:val="false"/>
          <w:iCs w:val="false"/>
          <w:sz w:val="22"/>
          <w:szCs w:val="22"/>
        </w:rPr>
        <w:t xml:space="preserve">The security model is built on the assumption that a single control will eventually fail, and that no single control should be the only thing standing between a user and identifiable patient data. Five layers apply in sequence, and a user must pass all of them to see a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Layer</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Control</w:t>
            </w:r>
          </w:p>
        </w:tc>
        <w:tc>
          <w:tcPr>
            <w:tcW w:type="dxa" w:w="5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What It Restricts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Microsoft Entra ID group membership</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Whether the person can authenticate to the platform at all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Fabric workspace role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Which items the person can see, edit, or publish</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Row-level security (RLS)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Which patient encounter rows the person can retrieve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Object- and column-level security (OLS/CLS)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Which PHI attributes exist for that person at all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SQL GRANT / DENY on the SQL analytics endpoint</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Whether direct T-SQL query bypasses the semantic model</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Two rules govern the whole design. First, deny by default: a new user receives no access until assigned to a group, and a new PHI column is inaccessible until explicitly granted. Second, no standing broad access: nobody holds network-wide identifiable data access as a routine entitlement; that access is time-bound, justified, and logged.</w:t>
      </w:r>
    </w:p>
    <w:p>
      <w:pPr>
        <w:pStyle w:val="Heading2"/>
        <w:spacing w:after="120" w:before="260"/>
      </w:pPr>
      <w:r>
        <w:rPr>
          <w:rFonts w:ascii="Calibri" w:cs="Calibri" w:eastAsia="Calibri" w:hAnsi="Calibri"/>
          <w:b/>
          <w:bCs/>
          <w:color w:val="2F5496"/>
          <w:sz w:val="26"/>
          <w:szCs w:val="26"/>
        </w:rPr>
        <w:t xml:space="preserve">3.2 Identity and Group Structure</w:t>
      </w:r>
    </w:p>
    <w:p>
      <w:pPr>
        <w:spacing w:after="140" w:line="276"/>
        <w:jc w:val="both"/>
      </w:pPr>
      <w:r>
        <w:rPr>
          <w:rFonts w:ascii="Calibri" w:cs="Calibri" w:eastAsia="Calibri" w:hAnsi="Calibri"/>
          <w:b w:val="false"/>
          <w:bCs w:val="false"/>
          <w:i w:val="false"/>
          <w:iCs w:val="false"/>
          <w:sz w:val="22"/>
          <w:szCs w:val="22"/>
        </w:rPr>
        <w:t xml:space="preserve">All access is granted to Microsoft Entra ID security groups, never to individual users. Groups are populated from the HR and provider credentialing systems where possible, so that a transfer or termination propagates automatically. Individual assignment is permitted only for break-glass administrator accounts, which are separately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Entra ID Group</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Population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Intended Platform Access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SG-Fabric-Clinical-Admins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Platform architects (3 named)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Workspace Admin, production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SG-Fabric-Clinical-Engineers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team (8)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 in dev/test, none in prod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SG-Fabric-Clinical-Analysts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Decision support analysts (26)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 de-identified network scope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SG-Fabric-Clinical-DeptHeads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 heads and managers (140)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 RLS-scoped to own department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SG-Fabric-Clinical-Providers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Attending physicians (620)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 RLS-scoped to own panel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SG-Fabric-Clinical-Executives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and network executives (32)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 network scope, de-identified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SG-Fabric-Clinical-Compliance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and compliance officers (6)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 with audit access, PHI-eligible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SG-Fabric-Clinical-SvcPrincipals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Automation identities (4)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 via service principal, prod pipelines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SG-Fabric-Clinical-BreakGlass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Emergency access accounts (2)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Admin, PIM-activated, 4-hour maximum</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Privileged roles — workspace Admin and any PHI-eligible role — are assigned through Microsoft Entra Privileged Identity Management with activation requiring justification, approval, and multi-factor authentication, and a maximum activation duration of four hours. Standing membership in these roles is prohibited.</w:t>
      </w:r>
    </w:p>
    <w:p>
      <w:pPr>
        <w:pStyle w:val="Heading2"/>
        <w:spacing w:after="120" w:before="260"/>
      </w:pPr>
      <w:r>
        <w:rPr>
          <w:rFonts w:ascii="Calibri" w:cs="Calibri" w:eastAsia="Calibri" w:hAnsi="Calibri"/>
          <w:b/>
          <w:bCs/>
          <w:color w:val="2F5496"/>
          <w:sz w:val="26"/>
          <w:szCs w:val="26"/>
        </w:rPr>
        <w:t xml:space="preserve">3.3 Workspace Roles and Assignments</w:t>
      </w:r>
    </w:p>
    <w:p>
      <w:pPr>
        <w:spacing w:after="140" w:line="276"/>
        <w:jc w:val="both"/>
      </w:pPr>
      <w:r>
        <w:rPr>
          <w:rFonts w:ascii="Calibri" w:cs="Calibri" w:eastAsia="Calibri" w:hAnsi="Calibri"/>
          <w:b w:val="false"/>
          <w:bCs w:val="false"/>
          <w:i w:val="false"/>
          <w:iCs w:val="false"/>
          <w:sz w:val="22"/>
          <w:szCs w:val="22"/>
        </w:rPr>
        <w:t xml:space="preserve">Fabric provides four workspace roles. Their practical meaning for this platform is: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Admin — full control including workspace deletion, access management, and capacity assignment. Restricted to three named platform architects, activated through PIM.</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Member — can add other users up to Member level and manage all content. Deliberately unused in production, because it allows access re-granting outside the change process.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Contributor — can create and modify items but cannot manage access. This is the working role for engineers in development and test.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Viewer — can read reports and query the semantic model, subject to RLS and OLS. This is the role for every clinical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250"/>
        <w:gridCol w:w="1300"/>
        <w:gridCol w:w="34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Group / Persona</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Dev</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Test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Prod</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Rationale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Platform architects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Admin (PIM)</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Own the workspace; production activation is time-bound and approved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team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Build in dev, validate in test; production changes arrive only through the deployment pipeline, never by hand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Deployment service principal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The only identity that writes to production, and it does so from a reviewed, versioned artifact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engineers (model/report)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Same promotion discipline as engineering</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analysts (decision support)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Read certified content; RLS network-wide, OLS removes identifiers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 heads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Read reports scoped by RLS to their own department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Attending providers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Read reports scoped by RLS to their own patient panel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Executives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Network-wide aggregate view, no identifiers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Compliance / privacy officers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Viewer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Read-only with audit-scope role; PHI-eligible for investigations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informatics (reference data)</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Contributor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Maintain mapping Dataflows in dev only; changes promote like code</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Two decisions in this table warrant emphasis for the review board. First, no human holds Contributor in production. Every production change flows through the deployment pipeline described in Section 5, which means every production change has a pull request, a reviewer, and an audit trail. Second, compliance officers hold Viewer rather than Admin. Auditors need to see data and access history; they do not need the ability to change the platform, and granting them Admin would weaken the very separation of duties they exist to verify.</w:t>
      </w:r>
    </w:p>
    <w:p>
      <w:pPr>
        <w:pStyle w:val="Heading3"/>
        <w:spacing w:after="100" w:before="200"/>
      </w:pPr>
      <w:r>
        <w:rPr>
          <w:rFonts w:ascii="Calibri" w:cs="Calibri" w:eastAsia="Calibri" w:hAnsi="Calibri"/>
          <w:b/>
          <w:bCs/>
          <w:color w:val="2F5496"/>
          <w:sz w:val="23"/>
          <w:szCs w:val="23"/>
        </w:rPr>
        <w:t xml:space="preserve">3.3.1 Item-level and OneLake permissions</w:t>
      </w:r>
    </w:p>
    <w:p>
      <w:pPr>
        <w:spacing w:after="140" w:line="276"/>
        <w:jc w:val="both"/>
      </w:pPr>
      <w:r>
        <w:rPr>
          <w:rFonts w:ascii="Calibri" w:cs="Calibri" w:eastAsia="Calibri" w:hAnsi="Calibri"/>
          <w:b w:val="false"/>
          <w:bCs w:val="false"/>
          <w:i w:val="false"/>
          <w:iCs w:val="false"/>
          <w:sz w:val="22"/>
          <w:szCs w:val="22"/>
        </w:rPr>
        <w:t xml:space="preserve">Workspace roles are supplemented by item-level sharing so that Viewer in the production workspace does not become a back door to raw data. Specifically: lh_bronze and lh_silver have OneLake data access removed for the Viewer role, so a workspace Viewer cannot open the bronze Lakehouse or query its SQL endpoint; lh_gold grants read only through the semantic model, not through direct file access; and the semantic model is shared with the Build permission required for report consumption but not the write permission that would allow a user to alter measure definitions.</w:t>
      </w:r>
    </w:p>
    <w:p>
      <w:pPr>
        <w:pStyle w:val="Heading2"/>
        <w:spacing w:after="120" w:before="260"/>
      </w:pPr>
      <w:r>
        <w:rPr>
          <w:rFonts w:ascii="Calibri" w:cs="Calibri" w:eastAsia="Calibri" w:hAnsi="Calibri"/>
          <w:b/>
          <w:bCs/>
          <w:color w:val="2F5496"/>
          <w:sz w:val="26"/>
          <w:szCs w:val="26"/>
        </w:rPr>
        <w:t xml:space="preserve">3.4 PHI Classification</w:t>
      </w:r>
    </w:p>
    <w:p>
      <w:pPr>
        <w:spacing w:after="140" w:line="276"/>
        <w:jc w:val="both"/>
      </w:pPr>
      <w:r>
        <w:rPr>
          <w:rFonts w:ascii="Calibri" w:cs="Calibri" w:eastAsia="Calibri" w:hAnsi="Calibri"/>
          <w:b w:val="false"/>
          <w:bCs w:val="false"/>
          <w:i w:val="false"/>
          <w:iCs w:val="false"/>
          <w:sz w:val="22"/>
          <w:szCs w:val="22"/>
        </w:rPr>
        <w:t xml:space="preserve">Every column in gold is classified before release. Classification drives the OLS, CLS, and masking rules that follow, and is recorded as a Microsoft Purview sensitivity label on the item and as a column-level tag in the data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Column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Classification</w:t>
            </w:r>
          </w:p>
        </w:tc>
        <w:tc>
          <w:tcPr>
            <w:tcW w:type="dxa" w:w="4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Treatment in Platform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PatientName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Vault schema only; OLS-hidden from all roles except Compliance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SocialSecurityNumber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loaded to gold at all; remains in bronze restricted schema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MedicalRecordNumber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Vault schema; masked for all roles except Compliance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DateOfBirth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Replaced in gold by AgeAtEncounter and AgeBand; ages over 89 collapsed to a single 90+ band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Address / ZIP code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Truncated to three-digit ZIP; low-population ZIPs collapsed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PhoneNumber, Email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identifier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loaded to gold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EnterprisePatientID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Pseudonymous key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Surrogate key used for joins; never displayed in reports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ProviderNPI, ProviderName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Sensitive (not PHI)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 to Department Heads for own department; suppressed below small-cell threshold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DiagnosisCode, ProcedureCode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(PHI in combination)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Available to all clinical roles; safe in aggregate, suppressed at small cell counts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LengthOfStayDays, Disposition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(PHI in combination)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Available to all clinical roles</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design point behind this table is that the default analytic path is de-identified. Date of birth is not hidden in gold — it is not present in gold, having been converted to an age band during the silver-to-gold build. A control that removes data is stronger than a control that hides it, because it cannot be misconfigured back on.</w:t>
      </w:r>
    </w:p>
    <w:p>
      <w:pPr>
        <w:pStyle w:val="Heading2"/>
        <w:spacing w:after="120" w:before="260"/>
      </w:pPr>
      <w:r>
        <w:rPr>
          <w:rFonts w:ascii="Calibri" w:cs="Calibri" w:eastAsia="Calibri" w:hAnsi="Calibri"/>
          <w:b/>
          <w:bCs/>
          <w:color w:val="2F5496"/>
          <w:sz w:val="26"/>
          <w:szCs w:val="26"/>
        </w:rPr>
        <w:t xml:space="preserve">3.5 Row-Level Security Design</w:t>
      </w:r>
    </w:p>
    <w:p>
      <w:pPr>
        <w:spacing w:after="140" w:line="276"/>
        <w:jc w:val="both"/>
      </w:pPr>
      <w:r>
        <w:rPr>
          <w:rFonts w:ascii="Calibri" w:cs="Calibri" w:eastAsia="Calibri" w:hAnsi="Calibri"/>
          <w:b w:val="false"/>
          <w:bCs w:val="false"/>
          <w:i w:val="false"/>
          <w:iCs w:val="false"/>
          <w:sz w:val="22"/>
          <w:szCs w:val="22"/>
        </w:rPr>
        <w:t xml:space="preserve">RLS is dynamic and data-driven. Rather than creating one static role per department — which would mean maintaining 60 roles across 12 hospitals — a single security bridge table maps each user principal name to the scopes they are entitled to, and a small number of DAX roles read that table at query time.</w:t>
      </w:r>
    </w:p>
    <w:p>
      <w:pPr>
        <w:pStyle w:val="Heading3"/>
        <w:spacing w:after="100" w:before="200"/>
      </w:pPr>
      <w:r>
        <w:rPr>
          <w:rFonts w:ascii="Calibri" w:cs="Calibri" w:eastAsia="Calibri" w:hAnsi="Calibri"/>
          <w:b/>
          <w:bCs/>
          <w:color w:val="2F5496"/>
          <w:sz w:val="23"/>
          <w:szCs w:val="23"/>
        </w:rPr>
        <w:t xml:space="preserve">3.5.1 The security scope table</w:t>
      </w:r>
    </w:p>
    <w:p>
      <w:pPr>
        <w:spacing w:after="140" w:line="276"/>
        <w:jc w:val="both"/>
      </w:pPr>
      <w:r>
        <w:rPr>
          <w:rFonts w:ascii="Calibri" w:cs="Calibri" w:eastAsia="Calibri" w:hAnsi="Calibri"/>
          <w:b w:val="false"/>
          <w:bCs w:val="false"/>
          <w:i w:val="false"/>
          <w:iCs w:val="false"/>
          <w:sz w:val="22"/>
          <w:szCs w:val="22"/>
        </w:rPr>
        <w:t xml:space="preserve">Table sec_user_scope is built nightly in gold from the HR system, the provider credentialing system, and the department registry. It is the single source of truth for who sees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2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Column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Type</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Description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UserPrincipalName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string</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Entra ID UPN, lower-cased, the join key to USERPRINCIPALNAME()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ScopeType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string</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 of Department, Hospital, Panel, Network</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HospitalKey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Surrogate key of the hospital in scope; -1 for network scope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DepartmentKey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Surrogate key of the department in scope; -1 for hospital or network scope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ProviderKey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Surrogate key of the provider whose panel is in scope; -1 if not panel-scoped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EffectiveFrom / EffectiveTo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Supports scheduled onboarding and automatic expiry on transfer or termination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GrantedBy / GrantReason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string</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Retained for HIPAA audit: who authorized this access and why</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table is filtered to rows where the current date falls between EffectiveFrom and EffectiveTo, so a department head who moves to another service loses the old scope automatically on the effective date rather than waiting for a manual review.</w:t>
      </w:r>
    </w:p>
    <w:p>
      <w:pPr>
        <w:pStyle w:val="Heading3"/>
        <w:spacing w:after="100" w:before="200"/>
      </w:pPr>
      <w:r>
        <w:rPr>
          <w:rFonts w:ascii="Calibri" w:cs="Calibri" w:eastAsia="Calibri" w:hAnsi="Calibri"/>
          <w:b/>
          <w:bCs/>
          <w:color w:val="2F5496"/>
          <w:sz w:val="23"/>
          <w:szCs w:val="23"/>
        </w:rPr>
        <w:t xml:space="preserve">3.5.2 RLS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900"/>
        <w:gridCol w:w="16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RLS Role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Assigned Group</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Row Scope</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Identifiers Visible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RLS_DepartmentHead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SG-Fabric-Clinical-DeptHeads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Encounters in the user own department(s) only</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RLS_Provider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SG-Fabric-Clinical-Providers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Encounters where the user is attending or admitting provider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MRN only</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RLS_HospitalLeader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SG-Fabric-Clinical-Executives (site)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encounters at the user own hospital</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RLS_NetworkAnalyst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SG-Fabric-Clinical-Analysts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encounters, all sites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RLS_Executive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SG-Fabric-Clinical-Executives (network)</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encounters, all sites, aggregate reports only</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RLS_Compliance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SG-Fabric-Clinical-Compliance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encounters, all sites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Yes (logged)</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00" w:before="200"/>
      </w:pPr>
      <w:r>
        <w:rPr>
          <w:rFonts w:ascii="Calibri" w:cs="Calibri" w:eastAsia="Calibri" w:hAnsi="Calibri"/>
          <w:b/>
          <w:bCs/>
          <w:color w:val="2F5496"/>
          <w:sz w:val="23"/>
          <w:szCs w:val="23"/>
        </w:rPr>
        <w:t xml:space="preserve">3.5.3 DAX filter expressions</w:t>
      </w:r>
    </w:p>
    <w:p>
      <w:pPr>
        <w:spacing w:after="140" w:line="276"/>
        <w:jc w:val="both"/>
      </w:pPr>
      <w:r>
        <w:rPr>
          <w:rFonts w:ascii="Calibri" w:cs="Calibri" w:eastAsia="Calibri" w:hAnsi="Calibri"/>
          <w:b w:val="false"/>
          <w:bCs w:val="false"/>
          <w:i w:val="false"/>
          <w:iCs w:val="false"/>
          <w:sz w:val="22"/>
          <w:szCs w:val="22"/>
        </w:rPr>
        <w:t xml:space="preserve">Filters are applied to the dimension tables, and propagate to facts through the model relationships. Applying the predicate to dim_department rather than to fact_encounter is deliberate: the dimension is small, the filter evaluates once, and every fact related to that dimension inherits the restriction, so a new fact table added later is protected by default.</w:t>
      </w:r>
    </w:p>
    <w:p>
      <w:pPr>
        <w:keepLines/>
        <w:shd w:fill="F4F5F7" w:color="auto" w:val="clear"/>
        <w:spacing w:after="0" w:before="100" w:line="216"/>
        <w:ind w:left="120" w:right="120"/>
      </w:pPr>
      <w:r>
        <w:rPr>
          <w:rFonts w:ascii="Consolas" w:cs="Consolas" w:eastAsia="Consolas" w:hAnsi="Consolas"/>
          <w:sz w:val="15"/>
          <w:szCs w:val="15"/>
        </w:rPr>
        <w:t xml:space="preserve">-- Role: RLS_DepartmentHead</w:t>
      </w:r>
    </w:p>
    <w:p>
      <w:pPr>
        <w:keepLines/>
        <w:shd w:fill="F4F5F7" w:color="auto" w:val="clear"/>
        <w:spacing w:after="0" w:before="0" w:line="216"/>
        <w:ind w:left="120" w:right="120"/>
      </w:pPr>
      <w:r>
        <w:rPr>
          <w:rFonts w:ascii="Consolas" w:cs="Consolas" w:eastAsia="Consolas" w:hAnsi="Consolas"/>
          <w:sz w:val="15"/>
          <w:szCs w:val="15"/>
        </w:rPr>
        <w:t xml:space="preserve">-- Applied to table: dim_department</w:t>
      </w:r>
    </w:p>
    <w:p>
      <w:pPr>
        <w:keepLines/>
        <w:shd w:fill="F4F5F7" w:color="auto" w:val="clear"/>
        <w:spacing w:after="0" w:before="0" w:line="216"/>
        <w:ind w:left="120" w:right="120"/>
      </w:pPr>
      <w:r>
        <w:rPr>
          <w:rFonts w:ascii="Consolas" w:cs="Consolas" w:eastAsia="Consolas" w:hAnsi="Consolas"/>
          <w:sz w:val="15"/>
          <w:szCs w:val="15"/>
        </w:rPr>
        <w:t xml:space="preserve">VAR CurrentUser = LOWER( USERPRINCIPALNAME() )</w:t>
      </w:r>
    </w:p>
    <w:p>
      <w:pPr>
        <w:keepLines/>
        <w:shd w:fill="F4F5F7" w:color="auto" w:val="clear"/>
        <w:spacing w:after="0" w:before="0" w:line="216"/>
        <w:ind w:left="120" w:right="120"/>
      </w:pPr>
      <w:r>
        <w:rPr>
          <w:rFonts w:ascii="Consolas" w:cs="Consolas" w:eastAsia="Consolas" w:hAnsi="Consolas"/>
          <w:sz w:val="15"/>
          <w:szCs w:val="15"/>
        </w:rPr>
        <w:t xml:space="preserve">RETURN</w:t>
      </w:r>
    </w:p>
    <w:p>
      <w:pPr>
        <w:keepLines/>
        <w:shd w:fill="F4F5F7" w:color="auto" w:val="clear"/>
        <w:spacing w:after="0" w:before="0" w:line="216"/>
        <w:ind w:left="120" w:right="120"/>
      </w:pPr>
      <w:r>
        <w:rPr>
          <w:rFonts w:ascii="Consolas" w:cs="Consolas" w:eastAsia="Consolas" w:hAnsi="Consolas"/>
          <w:sz w:val="15"/>
          <w:szCs w:val="15"/>
        </w:rPr>
        <w:t xml:space="preserve">    dim_department[DepartmentKey] IN</w:t>
      </w:r>
    </w:p>
    <w:p>
      <w:pPr>
        <w:keepLines/>
        <w:shd w:fill="F4F5F7" w:color="auto" w:val="clear"/>
        <w:spacing w:after="0" w:before="0" w:line="216"/>
        <w:ind w:left="120" w:right="120"/>
      </w:pPr>
      <w:r>
        <w:rPr>
          <w:rFonts w:ascii="Consolas" w:cs="Consolas" w:eastAsia="Consolas" w:hAnsi="Consolas"/>
          <w:sz w:val="15"/>
          <w:szCs w:val="15"/>
        </w:rPr>
        <w:t xml:space="preserve">        SELECTCOLUMNS(</w:t>
      </w:r>
    </w:p>
    <w:p>
      <w:pPr>
        <w:keepLines/>
        <w:shd w:fill="F4F5F7" w:color="auto" w:val="clear"/>
        <w:spacing w:after="0" w:before="0" w:line="216"/>
        <w:ind w:left="120" w:right="120"/>
      </w:pPr>
      <w:r>
        <w:rPr>
          <w:rFonts w:ascii="Consolas" w:cs="Consolas" w:eastAsia="Consolas" w:hAnsi="Consolas"/>
          <w:sz w:val="15"/>
          <w:szCs w:val="15"/>
        </w:rPr>
        <w:t xml:space="preserve">            FILTER(</w:t>
      </w:r>
    </w:p>
    <w:p>
      <w:pPr>
        <w:keepLines/>
        <w:shd w:fill="F4F5F7" w:color="auto" w:val="clear"/>
        <w:spacing w:after="0" w:before="0" w:line="216"/>
        <w:ind w:left="120" w:right="120"/>
      </w:pPr>
      <w:r>
        <w:rPr>
          <w:rFonts w:ascii="Consolas" w:cs="Consolas" w:eastAsia="Consolas" w:hAnsi="Consolas"/>
          <w:sz w:val="15"/>
          <w:szCs w:val="15"/>
        </w:rPr>
        <w:t xml:space="preserve">                sec_user_scope,</w:t>
      </w:r>
    </w:p>
    <w:p>
      <w:pPr>
        <w:keepLines/>
        <w:shd w:fill="F4F5F7" w:color="auto" w:val="clear"/>
        <w:spacing w:after="0" w:before="0" w:line="216"/>
        <w:ind w:left="120" w:right="120"/>
      </w:pPr>
      <w:r>
        <w:rPr>
          <w:rFonts w:ascii="Consolas" w:cs="Consolas" w:eastAsia="Consolas" w:hAnsi="Consolas"/>
          <w:sz w:val="15"/>
          <w:szCs w:val="15"/>
        </w:rPr>
        <w:t xml:space="preserve">                LOWER( sec_user_scope[UserPrincipalName] ) = CurrentUser</w:t>
      </w:r>
    </w:p>
    <w:p>
      <w:pPr>
        <w:keepLines/>
        <w:shd w:fill="F4F5F7" w:color="auto" w:val="clear"/>
        <w:spacing w:after="0" w:before="0" w:line="216"/>
        <w:ind w:left="120" w:right="120"/>
      </w:pPr>
      <w:r>
        <w:rPr>
          <w:rFonts w:ascii="Consolas" w:cs="Consolas" w:eastAsia="Consolas" w:hAnsi="Consolas"/>
          <w:sz w:val="15"/>
          <w:szCs w:val="15"/>
        </w:rPr>
        <w:t xml:space="preserve">                    &amp;&amp; sec_user_scope[ScopeType] = "Department"</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sec_user_scope[EffectiveFrom] &lt;= TODAY()</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sec_user_scope[EffectiveTo]   &gt;= TODAY()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"DeptKey", sec_user_scope[DepartmentKey]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Role: RLS_HospitalLeader</w:t>
      </w:r>
    </w:p>
    <w:p>
      <w:pPr>
        <w:keepLines/>
        <w:shd w:fill="F4F5F7" w:color="auto" w:val="clear"/>
        <w:spacing w:after="0" w:before="0" w:line="216"/>
        <w:ind w:left="120" w:right="120"/>
      </w:pPr>
      <w:r>
        <w:rPr>
          <w:rFonts w:ascii="Consolas" w:cs="Consolas" w:eastAsia="Consolas" w:hAnsi="Consolas"/>
          <w:sz w:val="15"/>
          <w:szCs w:val="15"/>
        </w:rPr>
        <w:t xml:space="preserve">-- Applied to table: dim_hospital</w:t>
      </w:r>
    </w:p>
    <w:p>
      <w:pPr>
        <w:keepLines/>
        <w:shd w:fill="F4F5F7" w:color="auto" w:val="clear"/>
        <w:spacing w:after="0" w:before="0" w:line="216"/>
        <w:ind w:left="120" w:right="120"/>
      </w:pPr>
      <w:r>
        <w:rPr>
          <w:rFonts w:ascii="Consolas" w:cs="Consolas" w:eastAsia="Consolas" w:hAnsi="Consolas"/>
          <w:sz w:val="15"/>
          <w:szCs w:val="15"/>
        </w:rPr>
        <w:t xml:space="preserve">VAR CurrentUser = LOWER( USERPRINCIPALNAME() )</w:t>
      </w:r>
    </w:p>
    <w:p>
      <w:pPr>
        <w:keepLines/>
        <w:shd w:fill="F4F5F7" w:color="auto" w:val="clear"/>
        <w:spacing w:after="0" w:before="0" w:line="216"/>
        <w:ind w:left="120" w:right="120"/>
      </w:pPr>
      <w:r>
        <w:rPr>
          <w:rFonts w:ascii="Consolas" w:cs="Consolas" w:eastAsia="Consolas" w:hAnsi="Consolas"/>
          <w:sz w:val="15"/>
          <w:szCs w:val="15"/>
        </w:rPr>
        <w:t xml:space="preserve">RETURN</w:t>
      </w:r>
    </w:p>
    <w:p>
      <w:pPr>
        <w:keepLines/>
        <w:shd w:fill="F4F5F7" w:color="auto" w:val="clear"/>
        <w:spacing w:after="0" w:before="0" w:line="216"/>
        <w:ind w:left="120" w:right="120"/>
      </w:pPr>
      <w:r>
        <w:rPr>
          <w:rFonts w:ascii="Consolas" w:cs="Consolas" w:eastAsia="Consolas" w:hAnsi="Consolas"/>
          <w:sz w:val="15"/>
          <w:szCs w:val="15"/>
        </w:rPr>
        <w:t xml:space="preserve">    dim_hospital[HospitalKey] IN</w:t>
      </w:r>
    </w:p>
    <w:p>
      <w:pPr>
        <w:keepLines/>
        <w:shd w:fill="F4F5F7" w:color="auto" w:val="clear"/>
        <w:spacing w:after="0" w:before="0" w:line="216"/>
        <w:ind w:left="120" w:right="120"/>
      </w:pPr>
      <w:r>
        <w:rPr>
          <w:rFonts w:ascii="Consolas" w:cs="Consolas" w:eastAsia="Consolas" w:hAnsi="Consolas"/>
          <w:sz w:val="15"/>
          <w:szCs w:val="15"/>
        </w:rPr>
        <w:t xml:space="preserve">        SELECTCOLUMNS(</w:t>
      </w:r>
    </w:p>
    <w:p>
      <w:pPr>
        <w:keepLines/>
        <w:shd w:fill="F4F5F7" w:color="auto" w:val="clear"/>
        <w:spacing w:after="0" w:before="0" w:line="216"/>
        <w:ind w:left="120" w:right="120"/>
      </w:pPr>
      <w:r>
        <w:rPr>
          <w:rFonts w:ascii="Consolas" w:cs="Consolas" w:eastAsia="Consolas" w:hAnsi="Consolas"/>
          <w:sz w:val="15"/>
          <w:szCs w:val="15"/>
        </w:rPr>
        <w:t xml:space="preserve">            FILTER(</w:t>
      </w:r>
    </w:p>
    <w:p>
      <w:pPr>
        <w:keepLines/>
        <w:shd w:fill="F4F5F7" w:color="auto" w:val="clear"/>
        <w:spacing w:after="0" w:before="0" w:line="216"/>
        <w:ind w:left="120" w:right="120"/>
      </w:pPr>
      <w:r>
        <w:rPr>
          <w:rFonts w:ascii="Consolas" w:cs="Consolas" w:eastAsia="Consolas" w:hAnsi="Consolas"/>
          <w:sz w:val="15"/>
          <w:szCs w:val="15"/>
        </w:rPr>
        <w:t xml:space="preserve">                sec_user_scope,</w:t>
      </w:r>
    </w:p>
    <w:p>
      <w:pPr>
        <w:keepLines/>
        <w:shd w:fill="F4F5F7" w:color="auto" w:val="clear"/>
        <w:spacing w:after="0" w:before="0" w:line="216"/>
        <w:ind w:left="120" w:right="120"/>
      </w:pPr>
      <w:r>
        <w:rPr>
          <w:rFonts w:ascii="Consolas" w:cs="Consolas" w:eastAsia="Consolas" w:hAnsi="Consolas"/>
          <w:sz w:val="15"/>
          <w:szCs w:val="15"/>
        </w:rPr>
        <w:t xml:space="preserve">                LOWER( sec_user_scope[UserPrincipalName] ) = CurrentUser</w:t>
      </w:r>
    </w:p>
    <w:p>
      <w:pPr>
        <w:keepLines/>
        <w:shd w:fill="F4F5F7" w:color="auto" w:val="clear"/>
        <w:spacing w:after="0" w:before="0" w:line="216"/>
        <w:ind w:left="120" w:right="120"/>
      </w:pPr>
      <w:r>
        <w:rPr>
          <w:rFonts w:ascii="Consolas" w:cs="Consolas" w:eastAsia="Consolas" w:hAnsi="Consolas"/>
          <w:sz w:val="15"/>
          <w:szCs w:val="15"/>
        </w:rPr>
        <w:t xml:space="preserve">                    &amp;&amp; sec_user_scope[ScopeType] = "Hospital"</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sec_user_scope[EffectiveFrom] &lt;= TODAY()</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sec_user_scope[EffectiveTo]   &gt;= TODAY()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"HospKey", sec_user_scope[HospitalKey]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Role: RLS_Provider</w:t>
      </w:r>
    </w:p>
    <w:p>
      <w:pPr>
        <w:keepLines/>
        <w:shd w:fill="F4F5F7" w:color="auto" w:val="clear"/>
        <w:spacing w:after="0" w:before="0" w:line="216"/>
        <w:ind w:left="120" w:right="120"/>
      </w:pPr>
      <w:r>
        <w:rPr>
          <w:rFonts w:ascii="Consolas" w:cs="Consolas" w:eastAsia="Consolas" w:hAnsi="Consolas"/>
          <w:sz w:val="15"/>
          <w:szCs w:val="15"/>
        </w:rPr>
        <w:t xml:space="preserve">-- Applied to table: dim_provider</w:t>
      </w:r>
    </w:p>
    <w:p>
      <w:pPr>
        <w:keepLines/>
        <w:shd w:fill="F4F5F7" w:color="auto" w:val="clear"/>
        <w:spacing w:after="0" w:before="0" w:line="216"/>
        <w:ind w:left="120" w:right="120"/>
      </w:pPr>
      <w:r>
        <w:rPr>
          <w:rFonts w:ascii="Consolas" w:cs="Consolas" w:eastAsia="Consolas" w:hAnsi="Consolas"/>
          <w:sz w:val="15"/>
          <w:szCs w:val="15"/>
        </w:rPr>
        <w:t xml:space="preserve">VAR CurrentUser = LOWER( USERPRINCIPALNAME() )</w:t>
      </w:r>
    </w:p>
    <w:p>
      <w:pPr>
        <w:keepLines/>
        <w:shd w:fill="F4F5F7" w:color="auto" w:val="clear"/>
        <w:spacing w:after="0" w:before="0" w:line="216"/>
        <w:ind w:left="120" w:right="120"/>
      </w:pPr>
      <w:r>
        <w:rPr>
          <w:rFonts w:ascii="Consolas" w:cs="Consolas" w:eastAsia="Consolas" w:hAnsi="Consolas"/>
          <w:sz w:val="15"/>
          <w:szCs w:val="15"/>
        </w:rPr>
        <w:t xml:space="preserve">RETURN</w:t>
      </w:r>
    </w:p>
    <w:p>
      <w:pPr>
        <w:keepLines/>
        <w:shd w:fill="F4F5F7" w:color="auto" w:val="clear"/>
        <w:spacing w:after="0" w:before="0" w:line="216"/>
        <w:ind w:left="120" w:right="120"/>
      </w:pPr>
      <w:r>
        <w:rPr>
          <w:rFonts w:ascii="Consolas" w:cs="Consolas" w:eastAsia="Consolas" w:hAnsi="Consolas"/>
          <w:sz w:val="15"/>
          <w:szCs w:val="15"/>
        </w:rPr>
        <w:t xml:space="preserve">    dim_provider[ProviderKey] IN</w:t>
      </w:r>
    </w:p>
    <w:p>
      <w:pPr>
        <w:keepLines/>
        <w:shd w:fill="F4F5F7" w:color="auto" w:val="clear"/>
        <w:spacing w:after="0" w:before="0" w:line="216"/>
        <w:ind w:left="120" w:right="120"/>
      </w:pPr>
      <w:r>
        <w:rPr>
          <w:rFonts w:ascii="Consolas" w:cs="Consolas" w:eastAsia="Consolas" w:hAnsi="Consolas"/>
          <w:sz w:val="15"/>
          <w:szCs w:val="15"/>
        </w:rPr>
        <w:t xml:space="preserve">        SELECTCOLUMNS(</w:t>
      </w:r>
    </w:p>
    <w:p>
      <w:pPr>
        <w:keepLines/>
        <w:shd w:fill="F4F5F7" w:color="auto" w:val="clear"/>
        <w:spacing w:after="0" w:before="0" w:line="216"/>
        <w:ind w:left="120" w:right="120"/>
      </w:pPr>
      <w:r>
        <w:rPr>
          <w:rFonts w:ascii="Consolas" w:cs="Consolas" w:eastAsia="Consolas" w:hAnsi="Consolas"/>
          <w:sz w:val="15"/>
          <w:szCs w:val="15"/>
        </w:rPr>
        <w:t xml:space="preserve">            FILTER(</w:t>
      </w:r>
    </w:p>
    <w:p>
      <w:pPr>
        <w:keepLines/>
        <w:shd w:fill="F4F5F7" w:color="auto" w:val="clear"/>
        <w:spacing w:after="0" w:before="0" w:line="216"/>
        <w:ind w:left="120" w:right="120"/>
      </w:pPr>
      <w:r>
        <w:rPr>
          <w:rFonts w:ascii="Consolas" w:cs="Consolas" w:eastAsia="Consolas" w:hAnsi="Consolas"/>
          <w:sz w:val="15"/>
          <w:szCs w:val="15"/>
        </w:rPr>
        <w:t xml:space="preserve">                sec_user_scope,</w:t>
      </w:r>
    </w:p>
    <w:p>
      <w:pPr>
        <w:keepLines/>
        <w:shd w:fill="F4F5F7" w:color="auto" w:val="clear"/>
        <w:spacing w:after="0" w:before="0" w:line="216"/>
        <w:ind w:left="120" w:right="120"/>
      </w:pPr>
      <w:r>
        <w:rPr>
          <w:rFonts w:ascii="Consolas" w:cs="Consolas" w:eastAsia="Consolas" w:hAnsi="Consolas"/>
          <w:sz w:val="15"/>
          <w:szCs w:val="15"/>
        </w:rPr>
        <w:t xml:space="preserve">                LOWER( sec_user_scope[UserPrincipalName] ) = CurrentUser</w:t>
      </w:r>
    </w:p>
    <w:p>
      <w:pPr>
        <w:keepLines/>
        <w:shd w:fill="F4F5F7" w:color="auto" w:val="clear"/>
        <w:spacing w:after="0" w:before="0" w:line="216"/>
        <w:ind w:left="120" w:right="120"/>
      </w:pPr>
      <w:r>
        <w:rPr>
          <w:rFonts w:ascii="Consolas" w:cs="Consolas" w:eastAsia="Consolas" w:hAnsi="Consolas"/>
          <w:sz w:val="15"/>
          <w:szCs w:val="15"/>
        </w:rPr>
        <w:t xml:space="preserve">                    &amp;&amp; sec_user_scope[ScopeType] = "Panel"</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sec_user_scope[EffectiveFrom] &lt;= TODAY()</w:t>
      </w:r>
    </w:p>
    <w:p>
      <w:pPr>
        <w:keepLines/>
        <w:shd w:fill="F4F5F7" w:color="auto" w:val="clear"/>
        <w:spacing w:after="0" w:before="0" w:line="216"/>
        <w:ind w:left="120" w:right="120"/>
      </w:pPr>
      <w:r>
        <w:rPr>
          <w:rFonts w:ascii="Consolas" w:cs="Consolas" w:eastAsia="Consolas" w:hAnsi="Consolas"/>
          <w:sz w:val="15"/>
          <w:szCs w:val="15"/>
        </w:rPr>
        <w:t xml:space="preserve">                    &amp;&amp; sec_user_scope[EffectiveTo]   &gt;= TODAY()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"ProvKey", sec_user_scope[ProviderKey]</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Roles: RLS_NetworkAnalyst, RLS_Executive, RLS_Compliance</w:t>
      </w:r>
    </w:p>
    <w:p>
      <w:pPr>
        <w:keepLines/>
        <w:shd w:fill="F4F5F7" w:color="auto" w:val="clear"/>
        <w:spacing w:after="0" w:before="0" w:line="216"/>
        <w:ind w:left="120" w:right="120"/>
      </w:pPr>
      <w:r>
        <w:rPr>
          <w:rFonts w:ascii="Consolas" w:cs="Consolas" w:eastAsia="Consolas" w:hAnsi="Consolas"/>
          <w:sz w:val="15"/>
          <w:szCs w:val="15"/>
        </w:rPr>
        <w:t xml:space="preserve">-- Applied to table: sec_user_scope (guard filter only)</w:t>
      </w:r>
    </w:p>
    <w:p>
      <w:pPr>
        <w:keepLines/>
        <w:shd w:fill="F4F5F7" w:color="auto" w:val="clear"/>
        <w:spacing w:after="0" w:before="0" w:line="216"/>
        <w:ind w:left="120" w:right="120"/>
      </w:pPr>
      <w:r>
        <w:rPr>
          <w:rFonts w:ascii="Consolas" w:cs="Consolas" w:eastAsia="Consolas" w:hAnsi="Consolas"/>
          <w:sz w:val="15"/>
          <w:szCs w:val="15"/>
        </w:rPr>
        <w:t xml:space="preserve">-- No filter is placed on dim_department, dim_hospital or dim_provider,</w:t>
      </w:r>
    </w:p>
    <w:p>
      <w:pPr>
        <w:keepLines/>
        <w:shd w:fill="F4F5F7" w:color="auto" w:val="clear"/>
        <w:spacing w:after="0" w:before="0" w:line="216"/>
        <w:ind w:left="120" w:right="120"/>
      </w:pPr>
      <w:r>
        <w:rPr>
          <w:rFonts w:ascii="Consolas" w:cs="Consolas" w:eastAsia="Consolas" w:hAnsi="Consolas"/>
          <w:sz w:val="15"/>
          <w:szCs w:val="15"/>
        </w:rPr>
        <w:t xml:space="preserve">-- so all rows are visible. The guard below still requires the user to</w:t>
      </w:r>
    </w:p>
    <w:p>
      <w:pPr>
        <w:keepLines/>
        <w:shd w:fill="F4F5F7" w:color="auto" w:val="clear"/>
        <w:spacing w:after="0" w:before="0" w:line="216"/>
        <w:ind w:left="120" w:right="120"/>
      </w:pPr>
      <w:r>
        <w:rPr>
          <w:rFonts w:ascii="Consolas" w:cs="Consolas" w:eastAsia="Consolas" w:hAnsi="Consolas"/>
          <w:sz w:val="15"/>
          <w:szCs w:val="15"/>
        </w:rPr>
        <w:t xml:space="preserve">-- hold an active Network scope row, so a lapsed or revoked entitlement</w:t>
      </w:r>
    </w:p>
    <w:p>
      <w:pPr>
        <w:keepLines/>
        <w:shd w:fill="F4F5F7" w:color="auto" w:val="clear"/>
        <w:spacing w:after="0" w:before="0" w:line="216"/>
        <w:ind w:left="120" w:right="120"/>
      </w:pPr>
      <w:r>
        <w:rPr>
          <w:rFonts w:ascii="Consolas" w:cs="Consolas" w:eastAsia="Consolas" w:hAnsi="Consolas"/>
          <w:sz w:val="15"/>
          <w:szCs w:val="15"/>
        </w:rPr>
        <w:t xml:space="preserve">-- returns an empty result set rather than the whole network.</w:t>
      </w:r>
    </w:p>
    <w:p>
      <w:pPr>
        <w:keepLines/>
        <w:shd w:fill="F4F5F7" w:color="auto" w:val="clear"/>
        <w:spacing w:after="0" w:before="0" w:line="216"/>
        <w:ind w:left="120" w:right="120"/>
      </w:pPr>
      <w:r>
        <w:rPr>
          <w:rFonts w:ascii="Consolas" w:cs="Consolas" w:eastAsia="Consolas" w:hAnsi="Consolas"/>
          <w:sz w:val="15"/>
          <w:szCs w:val="15"/>
        </w:rPr>
        <w:t xml:space="preserve">VAR CurrentUser = LOWER( USERPRINCIPALNAME() )</w:t>
      </w:r>
    </w:p>
    <w:p>
      <w:pPr>
        <w:keepLines/>
        <w:shd w:fill="F4F5F7" w:color="auto" w:val="clear"/>
        <w:spacing w:after="0" w:before="0" w:line="216"/>
        <w:ind w:left="120" w:right="120"/>
      </w:pPr>
      <w:r>
        <w:rPr>
          <w:rFonts w:ascii="Consolas" w:cs="Consolas" w:eastAsia="Consolas" w:hAnsi="Consolas"/>
          <w:sz w:val="15"/>
          <w:szCs w:val="15"/>
        </w:rPr>
        <w:t xml:space="preserve">RETURN</w:t>
      </w:r>
    </w:p>
    <w:p>
      <w:pPr>
        <w:keepLines/>
        <w:shd w:fill="F4F5F7" w:color="auto" w:val="clear"/>
        <w:spacing w:after="0" w:before="0" w:line="216"/>
        <w:ind w:left="120" w:right="120"/>
      </w:pPr>
      <w:r>
        <w:rPr>
          <w:rFonts w:ascii="Consolas" w:cs="Consolas" w:eastAsia="Consolas" w:hAnsi="Consolas"/>
          <w:sz w:val="15"/>
          <w:szCs w:val="15"/>
        </w:rPr>
        <w:t xml:space="preserve">    CALCULATE(</w:t>
      </w:r>
    </w:p>
    <w:p>
      <w:pPr>
        <w:keepLines/>
        <w:shd w:fill="F4F5F7" w:color="auto" w:val="clear"/>
        <w:spacing w:after="0" w:before="0" w:line="216"/>
        <w:ind w:left="120" w:right="120"/>
      </w:pPr>
      <w:r>
        <w:rPr>
          <w:rFonts w:ascii="Consolas" w:cs="Consolas" w:eastAsia="Consolas" w:hAnsi="Consolas"/>
          <w:sz w:val="15"/>
          <w:szCs w:val="15"/>
        </w:rPr>
        <w:t xml:space="preserve">        COUNTROWS( sec_user_scope ),</w:t>
      </w:r>
    </w:p>
    <w:p>
      <w:pPr>
        <w:keepLines/>
        <w:shd w:fill="F4F5F7" w:color="auto" w:val="clear"/>
        <w:spacing w:after="0" w:before="0" w:line="216"/>
        <w:ind w:left="120" w:right="120"/>
      </w:pPr>
      <w:r>
        <w:rPr>
          <w:rFonts w:ascii="Consolas" w:cs="Consolas" w:eastAsia="Consolas" w:hAnsi="Consolas"/>
          <w:sz w:val="15"/>
          <w:szCs w:val="15"/>
        </w:rPr>
        <w:t xml:space="preserve">        LOWER( sec_user_scope[UserPrincipalName] ) = CurrentUser,</w:t>
      </w:r>
    </w:p>
    <w:p>
      <w:pPr>
        <w:keepLines/>
        <w:shd w:fill="F4F5F7" w:color="auto" w:val="clear"/>
        <w:spacing w:after="0" w:before="0" w:line="216"/>
        <w:ind w:left="120" w:right="120"/>
      </w:pPr>
      <w:r>
        <w:rPr>
          <w:rFonts w:ascii="Consolas" w:cs="Consolas" w:eastAsia="Consolas" w:hAnsi="Consolas"/>
          <w:sz w:val="15"/>
          <w:szCs w:val="15"/>
        </w:rPr>
        <w:t xml:space="preserve">        sec_user_scope[ScopeType] = "Network",</w:t>
      </w:r>
    </w:p>
    <w:p>
      <w:pPr>
        <w:keepLines/>
        <w:shd w:fill="F4F5F7" w:color="auto" w:val="clear"/>
        <w:spacing w:after="0" w:before="0" w:line="216"/>
        <w:ind w:left="120" w:right="120"/>
      </w:pPr>
      <w:r>
        <w:rPr>
          <w:rFonts w:ascii="Consolas" w:cs="Consolas" w:eastAsia="Consolas" w:hAnsi="Consolas"/>
          <w:sz w:val="15"/>
          <w:szCs w:val="15"/>
        </w:rPr>
        <w:t xml:space="preserve">        sec_user_scope[EffectiveFrom] &lt;= TODAY(),</w:t>
      </w:r>
    </w:p>
    <w:p>
      <w:pPr>
        <w:keepLines/>
        <w:shd w:fill="F4F5F7" w:color="auto" w:val="clear"/>
        <w:spacing w:after="0" w:before="0" w:line="216"/>
        <w:ind w:left="120" w:right="120"/>
      </w:pPr>
      <w:r>
        <w:rPr>
          <w:rFonts w:ascii="Consolas" w:cs="Consolas" w:eastAsia="Consolas" w:hAnsi="Consolas"/>
          <w:sz w:val="15"/>
          <w:szCs w:val="15"/>
        </w:rPr>
        <w:t xml:space="preserve">        sec_user_scope[EffectiveTo]   &gt;= TODAY()</w:t>
      </w:r>
    </w:p>
    <w:p>
      <w:pPr>
        <w:keepLines/>
        <w:shd w:fill="F4F5F7" w:color="auto" w:val="clear"/>
        <w:spacing w:after="180" w:before="0" w:line="216"/>
        <w:ind w:left="120" w:right="120"/>
      </w:pPr>
      <w:r>
        <w:rPr>
          <w:rFonts w:ascii="Consolas" w:cs="Consolas" w:eastAsia="Consolas" w:hAnsi="Consolas"/>
          <w:sz w:val="15"/>
          <w:szCs w:val="15"/>
        </w:rPr>
        <w:t xml:space="preserve">    ) &gt; 0</w:t>
      </w:r>
    </w:p>
    <w:p>
      <w:pPr>
        <w:spacing w:after="140" w:line="276"/>
        <w:jc w:val="both"/>
      </w:pPr>
      <w:r>
        <w:rPr>
          <w:rFonts w:ascii="Calibri" w:cs="Calibri" w:eastAsia="Calibri" w:hAnsi="Calibri"/>
          <w:b w:val="false"/>
          <w:bCs w:val="false"/>
          <w:i w:val="false"/>
          <w:iCs w:val="false"/>
          <w:sz w:val="22"/>
          <w:szCs w:val="22"/>
        </w:rPr>
        <w:t xml:space="preserve">Worked example. A Cardiology department head at Hospital 04 holds one row in sec_user_scope with ScopeType Department and the DepartmentKey for Cardiology at Hospital 04. When she opens the length-of-stay report, the RLS_DepartmentHead filter reduces dim_department to that one row; the relationship to fact_encounter propagates the restriction; and every visual on the page — including the network comparison tile — returns only Cardiology encounters at her site. If she is also given oversight of Cardiac Surgery, a second row is added to sec_user_scope and both departments appear the following day with no model change and no redeployment.</w:t>
      </w:r>
    </w:p>
    <w:p>
      <w:pPr>
        <w:pStyle w:val="Heading3"/>
        <w:spacing w:after="100" w:before="200"/>
      </w:pPr>
      <w:r>
        <w:rPr>
          <w:rFonts w:ascii="Calibri" w:cs="Calibri" w:eastAsia="Calibri" w:hAnsi="Calibri"/>
          <w:b/>
          <w:bCs/>
          <w:color w:val="2F5496"/>
          <w:sz w:val="23"/>
          <w:szCs w:val="23"/>
        </w:rPr>
        <w:t xml:space="preserve">3.5.4 RLS implementation rules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Users must never be workspace Admin, Member, or Contributor in the production workspace, because those roles bypass RLS entirely. This is the single most common cause of RLS failure in practice, and the role table in Section 3.3 is written to prevent it.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The sec_user_scope table itself is hidden from report view and protected by its own filter so that a user cannot read the entitlements of others.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A user with no matching scope row sees no data, not all data. This fail-closed behaviour is verified by an automated test in the deployment pipeline.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Every RLS role is validated after each deployment using the View as role function plus a scripted DAX query executed as a set of test principals, with expected row counts asserted. Section 5.7 defines this as a release gate.</w:t>
      </w:r>
    </w:p>
    <w:p>
      <w:pPr>
        <w:pStyle w:val="Heading2"/>
        <w:spacing w:after="120" w:before="260"/>
      </w:pPr>
      <w:r>
        <w:rPr>
          <w:rFonts w:ascii="Calibri" w:cs="Calibri" w:eastAsia="Calibri" w:hAnsi="Calibri"/>
          <w:b/>
          <w:bCs/>
          <w:color w:val="2F5496"/>
          <w:sz w:val="26"/>
          <w:szCs w:val="26"/>
        </w:rPr>
        <w:t xml:space="preserve">3.6 Object-Level and Column-Level Security for PHI</w:t>
      </w:r>
    </w:p>
    <w:p>
      <w:pPr>
        <w:spacing w:after="140" w:line="276"/>
        <w:jc w:val="both"/>
      </w:pPr>
      <w:r>
        <w:rPr>
          <w:rFonts w:ascii="Calibri" w:cs="Calibri" w:eastAsia="Calibri" w:hAnsi="Calibri"/>
          <w:b w:val="false"/>
          <w:bCs w:val="false"/>
          <w:i w:val="false"/>
          <w:iCs w:val="false"/>
          <w:sz w:val="22"/>
          <w:szCs w:val="22"/>
        </w:rPr>
        <w:t xml:space="preserve">RLS controls which rows a user sees. It does nothing about which columns. A department head correctly restricted to Cardiology encounters would still see patient name on every one of those rows unless a second control is applied. OLS in the semantic model and CLS at the SQL endpoint provide that control.</w:t>
      </w:r>
    </w:p>
    <w:p>
      <w:pPr>
        <w:pStyle w:val="Heading3"/>
        <w:spacing w:after="100" w:before="200"/>
      </w:pPr>
      <w:r>
        <w:rPr>
          <w:rFonts w:ascii="Calibri" w:cs="Calibri" w:eastAsia="Calibri" w:hAnsi="Calibri"/>
          <w:b/>
          <w:bCs/>
          <w:color w:val="2F5496"/>
          <w:sz w:val="23"/>
          <w:szCs w:val="23"/>
        </w:rPr>
        <w:t xml:space="preserve">3.6.1 Object-level security in the semantic model</w:t>
      </w:r>
    </w:p>
    <w:p>
      <w:pPr>
        <w:spacing w:after="140" w:line="276"/>
        <w:jc w:val="both"/>
      </w:pPr>
      <w:r>
        <w:rPr>
          <w:rFonts w:ascii="Calibri" w:cs="Calibri" w:eastAsia="Calibri" w:hAnsi="Calibri"/>
          <w:b w:val="false"/>
          <w:bCs w:val="false"/>
          <w:i w:val="false"/>
          <w:iCs w:val="false"/>
          <w:sz w:val="22"/>
          <w:szCs w:val="22"/>
        </w:rPr>
        <w:t xml:space="preserve">OLS is defined per role and applied to the PHI vault table and its columns. When a column is OLS-restricted, it does not merely return blank — it is absent from the metadata for that user, so it cannot be selected, referenced in a measure, or discovered through field-list exploration. Any visual that references a restricted column returns an error for that role rather than silently exposing data, so OLS-restricted fields are kept off shared report pages and placed on role-specific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2100"/>
        <w:gridCol w:w="1350"/>
        <w:gridCol w:w="1500"/>
      </w:tblGrid>
      <w:tr>
        <w:trPr>
          <w:tblHeader/>
        </w:trPr>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Role</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PatientName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MedicalRecordNumber</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DateOfBirth</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AgeBand</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RLS_Compliance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RLS_Provider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 (own panel)</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in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RLS_DepartmentHead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in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RLS_HospitalLeader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in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RLS_NetworkAnalyst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in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RLS_Executive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Hidden</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in 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Visible</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provider exception is intentional and clinically necessary: a physician reviewing her own panel needs the medical record number to act on a finding, and she already has treatment-relationship access to those same patients in the EHR. Extending it no further than her own panel is exactly the minimum-necessary standard applied correctly.</w:t>
      </w:r>
    </w:p>
    <w:p>
      <w:pPr>
        <w:spacing w:after="140" w:line="276"/>
        <w:jc w:val="both"/>
      </w:pPr>
      <w:r>
        <w:rPr>
          <w:rFonts w:ascii="Calibri" w:cs="Calibri" w:eastAsia="Calibri" w:hAnsi="Calibri"/>
          <w:b w:val="false"/>
          <w:bCs w:val="false"/>
          <w:i w:val="false"/>
          <w:iCs w:val="false"/>
          <w:sz w:val="22"/>
          <w:szCs w:val="22"/>
        </w:rPr>
        <w:t xml:space="preserve">OLS is expressed in the model metadata. The TMSL fragment below shows the pattern applied to the department head role; it is generated and applied by script during deployment rather than clicked in a user interface, so it is version-controlled and reviewable.</w:t>
      </w:r>
    </w:p>
    <w:p>
      <w:pPr>
        <w:keepLines/>
        <w:shd w:fill="F4F5F7" w:color="auto" w:val="clear"/>
        <w:spacing w:after="0" w:before="10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"roles":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"name": "RLS_DepartmentHead",</w:t>
      </w:r>
    </w:p>
    <w:p>
      <w:pPr>
        <w:keepLines/>
        <w:shd w:fill="F4F5F7" w:color="auto" w:val="clear"/>
        <w:spacing w:after="0" w:before="0" w:line="216"/>
        <w:ind w:left="120" w:right="120"/>
      </w:pPr>
      <w:r>
        <w:rPr>
          <w:rFonts w:ascii="Consolas" w:cs="Consolas" w:eastAsia="Consolas" w:hAnsi="Consolas"/>
          <w:sz w:val="15"/>
          <w:szCs w:val="15"/>
        </w:rPr>
        <w:t xml:space="preserve">      "modelPermission": "read",</w:t>
      </w:r>
    </w:p>
    <w:p>
      <w:pPr>
        <w:keepLines/>
        <w:shd w:fill="F4F5F7" w:color="auto" w:val="clear"/>
        <w:spacing w:after="0" w:before="0" w:line="216"/>
        <w:ind w:left="120" w:right="120"/>
      </w:pPr>
      <w:r>
        <w:rPr>
          <w:rFonts w:ascii="Consolas" w:cs="Consolas" w:eastAsia="Consolas" w:hAnsi="Consolas"/>
          <w:sz w:val="15"/>
          <w:szCs w:val="15"/>
        </w:rPr>
        <w:t xml:space="preserve">      "tablePermissions":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"name": "dim_patient_vault",</w:t>
      </w:r>
    </w:p>
    <w:p>
      <w:pPr>
        <w:keepLines/>
        <w:shd w:fill="F4F5F7" w:color="auto" w:val="clear"/>
        <w:spacing w:after="0" w:before="0" w:line="216"/>
        <w:ind w:left="120" w:right="120"/>
      </w:pPr>
      <w:r>
        <w:rPr>
          <w:rFonts w:ascii="Consolas" w:cs="Consolas" w:eastAsia="Consolas" w:hAnsi="Consolas"/>
          <w:sz w:val="15"/>
          <w:szCs w:val="15"/>
        </w:rPr>
        <w:t xml:space="preserve">          "metadataPermission": "none"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"name": "dim_patient",</w:t>
      </w:r>
    </w:p>
    <w:p>
      <w:pPr>
        <w:keepLines/>
        <w:shd w:fill="F4F5F7" w:color="auto" w:val="clear"/>
        <w:spacing w:after="0" w:before="0" w:line="216"/>
        <w:ind w:left="120" w:right="120"/>
      </w:pPr>
      <w:r>
        <w:rPr>
          <w:rFonts w:ascii="Consolas" w:cs="Consolas" w:eastAsia="Consolas" w:hAnsi="Consolas"/>
          <w:sz w:val="15"/>
          <w:szCs w:val="15"/>
        </w:rPr>
        <w:t xml:space="preserve">          "columnPermissions": [</w:t>
      </w:r>
    </w:p>
    <w:p>
      <w:pPr>
        <w:keepLines/>
        <w:shd w:fill="F4F5F7" w:color="auto" w:val="clear"/>
        <w:spacing w:after="0" w:before="0" w:line="216"/>
        <w:ind w:left="120" w:right="120"/>
      </w:pPr>
      <w:r>
        <w:rPr>
          <w:rFonts w:ascii="Consolas" w:cs="Consolas" w:eastAsia="Consolas" w:hAnsi="Consolas"/>
          <w:sz w:val="15"/>
          <w:szCs w:val="15"/>
        </w:rPr>
        <w:t xml:space="preserve">            { "name": "PatientName",          "metadataPermission": "none" },</w:t>
      </w:r>
    </w:p>
    <w:p>
      <w:pPr>
        <w:keepLines/>
        <w:shd w:fill="F4F5F7" w:color="auto" w:val="clear"/>
        <w:spacing w:after="0" w:before="0" w:line="216"/>
        <w:ind w:left="120" w:right="120"/>
      </w:pPr>
      <w:r>
        <w:rPr>
          <w:rFonts w:ascii="Consolas" w:cs="Consolas" w:eastAsia="Consolas" w:hAnsi="Consolas"/>
          <w:sz w:val="15"/>
          <w:szCs w:val="15"/>
        </w:rPr>
        <w:t xml:space="preserve">            { "name": "MedicalRecordNumber",  "metadataPermission": "none"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180" w:before="0" w:line="216"/>
        <w:ind w:left="120" w:right="120"/>
      </w:pPr>
      <w:r>
        <w:rPr>
          <w:rFonts w:ascii="Consolas" w:cs="Consolas" w:eastAsia="Consolas" w:hAnsi="Consolas"/>
          <w:sz w:val="15"/>
          <w:szCs w:val="15"/>
        </w:rPr>
        <w:t xml:space="preserve">}</w:t>
      </w:r>
    </w:p>
    <w:p>
      <w:pPr>
        <w:pStyle w:val="Heading3"/>
        <w:spacing w:after="100" w:before="200"/>
      </w:pPr>
      <w:r>
        <w:rPr>
          <w:rFonts w:ascii="Calibri" w:cs="Calibri" w:eastAsia="Calibri" w:hAnsi="Calibri"/>
          <w:b/>
          <w:bCs/>
          <w:color w:val="2F5496"/>
          <w:sz w:val="23"/>
          <w:szCs w:val="23"/>
        </w:rPr>
        <w:t xml:space="preserve">3.6.2 Column-level security and masking at the SQL endpoint</w:t>
      </w:r>
    </w:p>
    <w:p>
      <w:pPr>
        <w:spacing w:after="140" w:line="276"/>
        <w:jc w:val="both"/>
      </w:pPr>
      <w:r>
        <w:rPr>
          <w:rFonts w:ascii="Calibri" w:cs="Calibri" w:eastAsia="Calibri" w:hAnsi="Calibri"/>
          <w:b w:val="false"/>
          <w:bCs w:val="false"/>
          <w:i w:val="false"/>
          <w:iCs w:val="false"/>
          <w:sz w:val="22"/>
          <w:szCs w:val="22"/>
        </w:rPr>
        <w:t xml:space="preserve">OLS protects the semantic model. It does not protect a user who connects a SQL client directly to the Lakehouse SQL analytics endpoint. CLS and dynamic data masking close that path.</w:t>
      </w:r>
    </w:p>
    <w:p>
      <w:pPr>
        <w:keepLines/>
        <w:shd w:fill="F4F5F7" w:color="auto" w:val="clear"/>
        <w:spacing w:after="0" w:before="100" w:line="216"/>
        <w:ind w:left="120" w:right="120"/>
      </w:pPr>
      <w:r>
        <w:rPr>
          <w:rFonts w:ascii="Consolas" w:cs="Consolas" w:eastAsia="Consolas" w:hAnsi="Consolas"/>
          <w:sz w:val="15"/>
          <w:szCs w:val="15"/>
        </w:rPr>
        <w:t xml:space="preserve">-- Column-level security: grant only the columns a role needs.</w:t>
      </w:r>
    </w:p>
    <w:p>
      <w:pPr>
        <w:keepLines/>
        <w:shd w:fill="F4F5F7" w:color="auto" w:val="clear"/>
        <w:spacing w:after="0" w:before="0" w:line="216"/>
        <w:ind w:left="120" w:right="120"/>
      </w:pPr>
      <w:r>
        <w:rPr>
          <w:rFonts w:ascii="Consolas" w:cs="Consolas" w:eastAsia="Consolas" w:hAnsi="Consolas"/>
          <w:sz w:val="15"/>
          <w:szCs w:val="15"/>
        </w:rPr>
        <w:t xml:space="preserve">-- Granting at column level implicitly denies the ungranted columns.</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GRANT SELECT ON gold.dim_patient</w:t>
      </w:r>
    </w:p>
    <w:p>
      <w:pPr>
        <w:keepLines/>
        <w:shd w:fill="F4F5F7" w:color="auto" w:val="clear"/>
        <w:spacing w:after="0" w:before="0" w:line="216"/>
        <w:ind w:left="120" w:right="120"/>
      </w:pPr>
      <w:r>
        <w:rPr>
          <w:rFonts w:ascii="Consolas" w:cs="Consolas" w:eastAsia="Consolas" w:hAnsi="Consolas"/>
          <w:sz w:val="15"/>
          <w:szCs w:val="15"/>
        </w:rPr>
        <w:t xml:space="preserve">    ( PatientKey, AgeAtEncounter, AgeBand, SexAtBirth,</w:t>
      </w:r>
    </w:p>
    <w:p>
      <w:pPr>
        <w:keepLines/>
        <w:shd w:fill="F4F5F7" w:color="auto" w:val="clear"/>
        <w:spacing w:after="0" w:before="0" w:line="216"/>
        <w:ind w:left="120" w:right="120"/>
      </w:pPr>
      <w:r>
        <w:rPr>
          <w:rFonts w:ascii="Consolas" w:cs="Consolas" w:eastAsia="Consolas" w:hAnsi="Consolas"/>
          <w:sz w:val="15"/>
          <w:szCs w:val="15"/>
        </w:rPr>
        <w:t xml:space="preserve">      ZipCode3, PrimaryLanguage )</w:t>
      </w:r>
    </w:p>
    <w:p>
      <w:pPr>
        <w:keepLines/>
        <w:shd w:fill="F4F5F7" w:color="auto" w:val="clear"/>
        <w:spacing w:after="0" w:before="0" w:line="216"/>
        <w:ind w:left="120" w:right="120"/>
      </w:pPr>
      <w:r>
        <w:rPr>
          <w:rFonts w:ascii="Consolas" w:cs="Consolas" w:eastAsia="Consolas" w:hAnsi="Consolas"/>
          <w:sz w:val="15"/>
          <w:szCs w:val="15"/>
        </w:rPr>
        <w:t xml:space="preserve">    TO [SG-Fabric-Clinical-DeptHeads];</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GRANT SELECT ON gold.dim_patient</w:t>
      </w:r>
    </w:p>
    <w:p>
      <w:pPr>
        <w:keepLines/>
        <w:shd w:fill="F4F5F7" w:color="auto" w:val="clear"/>
        <w:spacing w:after="0" w:before="0" w:line="216"/>
        <w:ind w:left="120" w:right="120"/>
      </w:pPr>
      <w:r>
        <w:rPr>
          <w:rFonts w:ascii="Consolas" w:cs="Consolas" w:eastAsia="Consolas" w:hAnsi="Consolas"/>
          <w:sz w:val="15"/>
          <w:szCs w:val="15"/>
        </w:rPr>
        <w:t xml:space="preserve">    ( PatientKey, AgeAtEncounter, AgeBand, SexAtBirth,</w:t>
      </w:r>
    </w:p>
    <w:p>
      <w:pPr>
        <w:keepLines/>
        <w:shd w:fill="F4F5F7" w:color="auto" w:val="clear"/>
        <w:spacing w:after="0" w:before="0" w:line="216"/>
        <w:ind w:left="120" w:right="120"/>
      </w:pPr>
      <w:r>
        <w:rPr>
          <w:rFonts w:ascii="Consolas" w:cs="Consolas" w:eastAsia="Consolas" w:hAnsi="Consolas"/>
          <w:sz w:val="15"/>
          <w:szCs w:val="15"/>
        </w:rPr>
        <w:t xml:space="preserve">      ZipCode3, PrimaryLanguage, MedicalRecordNumber )</w:t>
      </w:r>
    </w:p>
    <w:p>
      <w:pPr>
        <w:keepLines/>
        <w:shd w:fill="F4F5F7" w:color="auto" w:val="clear"/>
        <w:spacing w:after="0" w:before="0" w:line="216"/>
        <w:ind w:left="120" w:right="120"/>
      </w:pPr>
      <w:r>
        <w:rPr>
          <w:rFonts w:ascii="Consolas" w:cs="Consolas" w:eastAsia="Consolas" w:hAnsi="Consolas"/>
          <w:sz w:val="15"/>
          <w:szCs w:val="15"/>
        </w:rPr>
        <w:t xml:space="preserve">    TO [SG-Fabric-Clinical-Providers];</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Compliance receives the full column set, including direct identifiers.</w:t>
      </w:r>
    </w:p>
    <w:p>
      <w:pPr>
        <w:keepLines/>
        <w:shd w:fill="F4F5F7" w:color="auto" w:val="clear"/>
        <w:spacing w:after="0" w:before="0" w:line="216"/>
        <w:ind w:left="120" w:right="120"/>
      </w:pPr>
      <w:r>
        <w:rPr>
          <w:rFonts w:ascii="Consolas" w:cs="Consolas" w:eastAsia="Consolas" w:hAnsi="Consolas"/>
          <w:sz w:val="15"/>
          <w:szCs w:val="15"/>
        </w:rPr>
        <w:t xml:space="preserve">GRANT SELECT ON gold.dim_patient_vault</w:t>
      </w:r>
    </w:p>
    <w:p>
      <w:pPr>
        <w:keepLines/>
        <w:shd w:fill="F4F5F7" w:color="auto" w:val="clear"/>
        <w:spacing w:after="0" w:before="0" w:line="216"/>
        <w:ind w:left="120" w:right="120"/>
      </w:pPr>
      <w:r>
        <w:rPr>
          <w:rFonts w:ascii="Consolas" w:cs="Consolas" w:eastAsia="Consolas" w:hAnsi="Consolas"/>
          <w:sz w:val="15"/>
          <w:szCs w:val="15"/>
        </w:rPr>
        <w:t xml:space="preserve">    TO [SG-Fabric-Clinical-Compliance];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Dynamic data masking as a second line of defence, so that a</w:t>
      </w:r>
    </w:p>
    <w:p>
      <w:pPr>
        <w:keepLines/>
        <w:shd w:fill="F4F5F7" w:color="auto" w:val="clear"/>
        <w:spacing w:after="0" w:before="0" w:line="216"/>
        <w:ind w:left="120" w:right="120"/>
      </w:pPr>
      <w:r>
        <w:rPr>
          <w:rFonts w:ascii="Consolas" w:cs="Consolas" w:eastAsia="Consolas" w:hAnsi="Consolas"/>
          <w:sz w:val="15"/>
          <w:szCs w:val="15"/>
        </w:rPr>
        <w:t xml:space="preserve">-- misconfigured grant still does not surface a usable identifier.</w:t>
      </w:r>
    </w:p>
    <w:p>
      <w:pPr>
        <w:keepLines/>
        <w:shd w:fill="F4F5F7" w:color="auto" w:val="clear"/>
        <w:spacing w:after="0" w:before="0" w:line="216"/>
        <w:ind w:left="120" w:right="120"/>
      </w:pPr>
      <w:r>
        <w:rPr>
          <w:rFonts w:ascii="Consolas" w:cs="Consolas" w:eastAsia="Consolas" w:hAnsi="Consolas"/>
          <w:sz w:val="15"/>
          <w:szCs w:val="15"/>
        </w:rPr>
        <w:t xml:space="preserve">ALTER TABLE gold.dim_patient_vault</w:t>
      </w:r>
    </w:p>
    <w:p>
      <w:pPr>
        <w:keepLines/>
        <w:shd w:fill="F4F5F7" w:color="auto" w:val="clear"/>
        <w:spacing w:after="0" w:before="0" w:line="216"/>
        <w:ind w:left="120" w:right="120"/>
      </w:pPr>
      <w:r>
        <w:rPr>
          <w:rFonts w:ascii="Consolas" w:cs="Consolas" w:eastAsia="Consolas" w:hAnsi="Consolas"/>
          <w:sz w:val="15"/>
          <w:szCs w:val="15"/>
        </w:rPr>
        <w:t xml:space="preserve">    ALTER COLUMN MedicalRecordNumber</w:t>
      </w:r>
    </w:p>
    <w:p>
      <w:pPr>
        <w:keepLines/>
        <w:shd w:fill="F4F5F7" w:color="auto" w:val="clear"/>
        <w:spacing w:after="0" w:before="0" w:line="216"/>
        <w:ind w:left="120" w:right="120"/>
      </w:pPr>
      <w:r>
        <w:rPr>
          <w:rFonts w:ascii="Consolas" w:cs="Consolas" w:eastAsia="Consolas" w:hAnsi="Consolas"/>
          <w:sz w:val="15"/>
          <w:szCs w:val="15"/>
        </w:rPr>
        <w:t xml:space="preserve">    ADD MASKED WITH (FUNCTION = 'partial(0,"XXXXXX",4)');</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ALTER TABLE gold.dim_patient_vault</w:t>
      </w:r>
    </w:p>
    <w:p>
      <w:pPr>
        <w:keepLines/>
        <w:shd w:fill="F4F5F7" w:color="auto" w:val="clear"/>
        <w:spacing w:after="0" w:before="0" w:line="216"/>
        <w:ind w:left="120" w:right="120"/>
      </w:pPr>
      <w:r>
        <w:rPr>
          <w:rFonts w:ascii="Consolas" w:cs="Consolas" w:eastAsia="Consolas" w:hAnsi="Consolas"/>
          <w:sz w:val="15"/>
          <w:szCs w:val="15"/>
        </w:rPr>
        <w:t xml:space="preserve">    ALTER COLUMN PatientName</w:t>
      </w:r>
    </w:p>
    <w:p>
      <w:pPr>
        <w:keepLines/>
        <w:shd w:fill="F4F5F7" w:color="auto" w:val="clear"/>
        <w:spacing w:after="0" w:before="0" w:line="216"/>
        <w:ind w:left="120" w:right="120"/>
      </w:pPr>
      <w:r>
        <w:rPr>
          <w:rFonts w:ascii="Consolas" w:cs="Consolas" w:eastAsia="Consolas" w:hAnsi="Consolas"/>
          <w:sz w:val="15"/>
          <w:szCs w:val="15"/>
        </w:rPr>
        <w:t xml:space="preserve">    ADD MASKED WITH (FUNCTION = 'default()');</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180" w:before="0" w:line="216"/>
        <w:ind w:left="120" w:right="120"/>
      </w:pPr>
      <w:r>
        <w:rPr>
          <w:rFonts w:ascii="Consolas" w:cs="Consolas" w:eastAsia="Consolas" w:hAnsi="Consolas"/>
          <w:sz w:val="15"/>
          <w:szCs w:val="15"/>
        </w:rPr>
        <w:t xml:space="preserve">GRANT UNMASK TO [SG-Fabric-Clinical-Compliance];</w:t>
      </w:r>
    </w:p>
    <w:p>
      <w:pPr>
        <w:spacing w:after="140" w:line="276"/>
        <w:jc w:val="both"/>
      </w:pPr>
      <w:r>
        <w:rPr>
          <w:rFonts w:ascii="Calibri" w:cs="Calibri" w:eastAsia="Calibri" w:hAnsi="Calibri"/>
          <w:b w:val="false"/>
          <w:bCs w:val="false"/>
          <w:i w:val="false"/>
          <w:iCs w:val="false"/>
          <w:sz w:val="22"/>
          <w:szCs w:val="22"/>
        </w:rPr>
        <w:t xml:space="preserve">Row-level security is also enforced at the SQL endpoint, so that the department restriction holds for direct query users exactly as it does in the semantic model. Without this, a department head with SQL access could simply query around the model.</w:t>
      </w:r>
    </w:p>
    <w:p>
      <w:pPr>
        <w:keepLines/>
        <w:shd w:fill="F4F5F7" w:color="auto" w:val="clear"/>
        <w:spacing w:after="0" w:before="100" w:line="216"/>
        <w:ind w:left="120" w:right="120"/>
      </w:pPr>
      <w:r>
        <w:rPr>
          <w:rFonts w:ascii="Consolas" w:cs="Consolas" w:eastAsia="Consolas" w:hAnsi="Consolas"/>
          <w:sz w:val="15"/>
          <w:szCs w:val="15"/>
        </w:rPr>
        <w:t xml:space="preserve">CREATE SCHEMA sec;</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CREATE FUNCTION sec.fn_department_predicate(@DepartmentKey INT)</w:t>
      </w:r>
    </w:p>
    <w:p>
      <w:pPr>
        <w:keepLines/>
        <w:shd w:fill="F4F5F7" w:color="auto" w:val="clear"/>
        <w:spacing w:after="0" w:before="0" w:line="216"/>
        <w:ind w:left="120" w:right="120"/>
      </w:pPr>
      <w:r>
        <w:rPr>
          <w:rFonts w:ascii="Consolas" w:cs="Consolas" w:eastAsia="Consolas" w:hAnsi="Consolas"/>
          <w:sz w:val="15"/>
          <w:szCs w:val="15"/>
        </w:rPr>
        <w:t xml:space="preserve">    RETURNS TABLE</w:t>
      </w:r>
    </w:p>
    <w:p>
      <w:pPr>
        <w:keepLines/>
        <w:shd w:fill="F4F5F7" w:color="auto" w:val="clear"/>
        <w:spacing w:after="0" w:before="0" w:line="216"/>
        <w:ind w:left="120" w:right="120"/>
      </w:pPr>
      <w:r>
        <w:rPr>
          <w:rFonts w:ascii="Consolas" w:cs="Consolas" w:eastAsia="Consolas" w:hAnsi="Consolas"/>
          <w:sz w:val="15"/>
          <w:szCs w:val="15"/>
        </w:rPr>
        <w:t xml:space="preserve">    WITH SCHEMABINDING</w:t>
      </w:r>
    </w:p>
    <w:p>
      <w:pPr>
        <w:keepLines/>
        <w:shd w:fill="F4F5F7" w:color="auto" w:val="clear"/>
        <w:spacing w:after="0" w:before="0" w:line="216"/>
        <w:ind w:left="120" w:right="120"/>
      </w:pPr>
      <w:r>
        <w:rPr>
          <w:rFonts w:ascii="Consolas" w:cs="Consolas" w:eastAsia="Consolas" w:hAnsi="Consolas"/>
          <w:sz w:val="15"/>
          <w:szCs w:val="15"/>
        </w:rPr>
        <w:t xml:space="preserve">AS</w:t>
      </w:r>
    </w:p>
    <w:p>
      <w:pPr>
        <w:keepLines/>
        <w:shd w:fill="F4F5F7" w:color="auto" w:val="clear"/>
        <w:spacing w:after="0" w:before="0" w:line="216"/>
        <w:ind w:left="120" w:right="120"/>
      </w:pPr>
      <w:r>
        <w:rPr>
          <w:rFonts w:ascii="Consolas" w:cs="Consolas" w:eastAsia="Consolas" w:hAnsi="Consolas"/>
          <w:sz w:val="15"/>
          <w:szCs w:val="15"/>
        </w:rPr>
        <w:t xml:space="preserve">RETURN</w:t>
      </w:r>
    </w:p>
    <w:p>
      <w:pPr>
        <w:keepLines/>
        <w:shd w:fill="F4F5F7" w:color="auto" w:val="clear"/>
        <w:spacing w:after="0" w:before="0" w:line="216"/>
        <w:ind w:left="120" w:right="120"/>
      </w:pPr>
      <w:r>
        <w:rPr>
          <w:rFonts w:ascii="Consolas" w:cs="Consolas" w:eastAsia="Consolas" w:hAnsi="Consolas"/>
          <w:sz w:val="15"/>
          <w:szCs w:val="15"/>
        </w:rPr>
        <w:t xml:space="preserve">    SELECT 1 AS fn_result</w:t>
      </w:r>
    </w:p>
    <w:p>
      <w:pPr>
        <w:keepLines/>
        <w:shd w:fill="F4F5F7" w:color="auto" w:val="clear"/>
        <w:spacing w:after="0" w:before="0" w:line="216"/>
        <w:ind w:left="120" w:right="120"/>
      </w:pPr>
      <w:r>
        <w:rPr>
          <w:rFonts w:ascii="Consolas" w:cs="Consolas" w:eastAsia="Consolas" w:hAnsi="Consolas"/>
          <w:sz w:val="15"/>
          <w:szCs w:val="15"/>
        </w:rPr>
        <w:t xml:space="preserve">    WHERE EXISTS (</w:t>
      </w:r>
    </w:p>
    <w:p>
      <w:pPr>
        <w:keepLines/>
        <w:shd w:fill="F4F5F7" w:color="auto" w:val="clear"/>
        <w:spacing w:after="0" w:before="0" w:line="216"/>
        <w:ind w:left="120" w:right="120"/>
      </w:pPr>
      <w:r>
        <w:rPr>
          <w:rFonts w:ascii="Consolas" w:cs="Consolas" w:eastAsia="Consolas" w:hAnsi="Consolas"/>
          <w:sz w:val="15"/>
          <w:szCs w:val="15"/>
        </w:rPr>
        <w:t xml:space="preserve">        SELECT 1</w:t>
      </w:r>
    </w:p>
    <w:p>
      <w:pPr>
        <w:keepLines/>
        <w:shd w:fill="F4F5F7" w:color="auto" w:val="clear"/>
        <w:spacing w:after="0" w:before="0" w:line="216"/>
        <w:ind w:left="120" w:right="120"/>
      </w:pPr>
      <w:r>
        <w:rPr>
          <w:rFonts w:ascii="Consolas" w:cs="Consolas" w:eastAsia="Consolas" w:hAnsi="Consolas"/>
          <w:sz w:val="15"/>
          <w:szCs w:val="15"/>
        </w:rPr>
        <w:t xml:space="preserve">        FROM   gold.sec_user_scope AS s</w:t>
      </w:r>
    </w:p>
    <w:p>
      <w:pPr>
        <w:keepLines/>
        <w:shd w:fill="F4F5F7" w:color="auto" w:val="clear"/>
        <w:spacing w:after="0" w:before="0" w:line="216"/>
        <w:ind w:left="120" w:right="120"/>
      </w:pPr>
      <w:r>
        <w:rPr>
          <w:rFonts w:ascii="Consolas" w:cs="Consolas" w:eastAsia="Consolas" w:hAnsi="Consolas"/>
          <w:sz w:val="15"/>
          <w:szCs w:val="15"/>
        </w:rPr>
        <w:t xml:space="preserve">        WHERE  s.UserPrincipalName = LOWER(USER_NAME())</w:t>
      </w:r>
    </w:p>
    <w:p>
      <w:pPr>
        <w:keepLines/>
        <w:shd w:fill="F4F5F7" w:color="auto" w:val="clear"/>
        <w:spacing w:after="0" w:before="0" w:line="216"/>
        <w:ind w:left="120" w:right="120"/>
      </w:pPr>
      <w:r>
        <w:rPr>
          <w:rFonts w:ascii="Consolas" w:cs="Consolas" w:eastAsia="Consolas" w:hAnsi="Consolas"/>
          <w:sz w:val="15"/>
          <w:szCs w:val="15"/>
        </w:rPr>
        <w:t xml:space="preserve">          AND  s.ScopeType         = 'Department'</w:t>
      </w:r>
    </w:p>
    <w:p>
      <w:pPr>
        <w:keepLines/>
        <w:shd w:fill="F4F5F7" w:color="auto" w:val="clear"/>
        <w:spacing w:after="0" w:before="0" w:line="216"/>
        <w:ind w:left="120" w:right="120"/>
      </w:pPr>
      <w:r>
        <w:rPr>
          <w:rFonts w:ascii="Consolas" w:cs="Consolas" w:eastAsia="Consolas" w:hAnsi="Consolas"/>
          <w:sz w:val="15"/>
          <w:szCs w:val="15"/>
        </w:rPr>
        <w:t xml:space="preserve">          AND  s.DepartmentKey     = @DepartmentKey</w:t>
      </w:r>
    </w:p>
    <w:p>
      <w:pPr>
        <w:keepLines/>
        <w:shd w:fill="F4F5F7" w:color="auto" w:val="clear"/>
        <w:spacing w:after="0" w:before="0" w:line="216"/>
        <w:ind w:left="120" w:right="120"/>
      </w:pPr>
      <w:r>
        <w:rPr>
          <w:rFonts w:ascii="Consolas" w:cs="Consolas" w:eastAsia="Consolas" w:hAnsi="Consolas"/>
          <w:sz w:val="15"/>
          <w:szCs w:val="15"/>
        </w:rPr>
        <w:t xml:space="preserve">          AND  CAST(GETUTCDATE() AS DATE)</w:t>
      </w:r>
    </w:p>
    <w:p>
      <w:pPr>
        <w:keepLines/>
        <w:shd w:fill="F4F5F7" w:color="auto" w:val="clear"/>
        <w:spacing w:after="0" w:before="0" w:line="216"/>
        <w:ind w:left="120" w:right="120"/>
      </w:pPr>
      <w:r>
        <w:rPr>
          <w:rFonts w:ascii="Consolas" w:cs="Consolas" w:eastAsia="Consolas" w:hAnsi="Consolas"/>
          <w:sz w:val="15"/>
          <w:szCs w:val="15"/>
        </w:rPr>
        <w:t xml:space="preserve">               BETWEEN s.EffectiveFrom AND s.EffectiveTo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OR IS_ROLEMEMBER('db_network_wide_read') = 1;</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CREATE SECURITY POLICY sec.encounter_department_filter</w:t>
      </w:r>
    </w:p>
    <w:p>
      <w:pPr>
        <w:keepLines/>
        <w:shd w:fill="F4F5F7" w:color="auto" w:val="clear"/>
        <w:spacing w:after="0" w:before="0" w:line="216"/>
        <w:ind w:left="120" w:right="120"/>
      </w:pPr>
      <w:r>
        <w:rPr>
          <w:rFonts w:ascii="Consolas" w:cs="Consolas" w:eastAsia="Consolas" w:hAnsi="Consolas"/>
          <w:sz w:val="15"/>
          <w:szCs w:val="15"/>
        </w:rPr>
        <w:t xml:space="preserve">    ADD FILTER PREDICATE sec.fn_department_predicate(DepartmentKey)</w:t>
      </w:r>
    </w:p>
    <w:p>
      <w:pPr>
        <w:keepLines/>
        <w:shd w:fill="F4F5F7" w:color="auto" w:val="clear"/>
        <w:spacing w:after="0" w:before="0" w:line="216"/>
        <w:ind w:left="120" w:right="120"/>
      </w:pPr>
      <w:r>
        <w:rPr>
          <w:rFonts w:ascii="Consolas" w:cs="Consolas" w:eastAsia="Consolas" w:hAnsi="Consolas"/>
          <w:sz w:val="15"/>
          <w:szCs w:val="15"/>
        </w:rPr>
        <w:t xml:space="preserve">        ON gold.fact_encounter,</w:t>
      </w:r>
    </w:p>
    <w:p>
      <w:pPr>
        <w:keepLines/>
        <w:shd w:fill="F4F5F7" w:color="auto" w:val="clear"/>
        <w:spacing w:after="0" w:before="0" w:line="216"/>
        <w:ind w:left="120" w:right="120"/>
      </w:pPr>
      <w:r>
        <w:rPr>
          <w:rFonts w:ascii="Consolas" w:cs="Consolas" w:eastAsia="Consolas" w:hAnsi="Consolas"/>
          <w:sz w:val="15"/>
          <w:szCs w:val="15"/>
        </w:rPr>
        <w:t xml:space="preserve">    ADD FILTER PREDICATE sec.fn_department_predicate(DepartmentKey)</w:t>
      </w:r>
    </w:p>
    <w:p>
      <w:pPr>
        <w:keepLines/>
        <w:shd w:fill="F4F5F7" w:color="auto" w:val="clear"/>
        <w:spacing w:after="0" w:before="0" w:line="216"/>
        <w:ind w:left="120" w:right="120"/>
      </w:pPr>
      <w:r>
        <w:rPr>
          <w:rFonts w:ascii="Consolas" w:cs="Consolas" w:eastAsia="Consolas" w:hAnsi="Consolas"/>
          <w:sz w:val="15"/>
          <w:szCs w:val="15"/>
        </w:rPr>
        <w:t xml:space="preserve">        ON gold.fact_daily_census,</w:t>
      </w:r>
    </w:p>
    <w:p>
      <w:pPr>
        <w:keepLines/>
        <w:shd w:fill="F4F5F7" w:color="auto" w:val="clear"/>
        <w:spacing w:after="0" w:before="0" w:line="216"/>
        <w:ind w:left="120" w:right="120"/>
      </w:pPr>
      <w:r>
        <w:rPr>
          <w:rFonts w:ascii="Consolas" w:cs="Consolas" w:eastAsia="Consolas" w:hAnsi="Consolas"/>
          <w:sz w:val="15"/>
          <w:szCs w:val="15"/>
        </w:rPr>
        <w:t xml:space="preserve">    ADD FILTER PREDICATE sec.fn_department_predicate(DepartmentKey)</w:t>
      </w:r>
    </w:p>
    <w:p>
      <w:pPr>
        <w:keepLines/>
        <w:shd w:fill="F4F5F7" w:color="auto" w:val="clear"/>
        <w:spacing w:after="0" w:before="0" w:line="216"/>
        <w:ind w:left="120" w:right="120"/>
      </w:pPr>
      <w:r>
        <w:rPr>
          <w:rFonts w:ascii="Consolas" w:cs="Consolas" w:eastAsia="Consolas" w:hAnsi="Consolas"/>
          <w:sz w:val="15"/>
          <w:szCs w:val="15"/>
        </w:rPr>
        <w:t xml:space="preserve">        ON gold.fact_ed_throughput</w:t>
      </w:r>
    </w:p>
    <w:p>
      <w:pPr>
        <w:keepLines/>
        <w:shd w:fill="F4F5F7" w:color="auto" w:val="clear"/>
        <w:spacing w:after="0" w:before="0" w:line="216"/>
        <w:ind w:left="120" w:right="120"/>
      </w:pPr>
      <w:r>
        <w:rPr>
          <w:rFonts w:ascii="Consolas" w:cs="Consolas" w:eastAsia="Consolas" w:hAnsi="Consolas"/>
          <w:sz w:val="15"/>
          <w:szCs w:val="15"/>
        </w:rPr>
        <w:t xml:space="preserve">WITH (STATE = ON);</w:t>
      </w:r>
    </w:p>
    <w:p>
      <w:pPr>
        <w:keepLines/>
        <w:shd w:fill="F4F5F7" w:color="auto" w:val="clear"/>
        <w:spacing w:after="180" w:before="0" w:line="216"/>
        <w:ind w:left="120" w:right="120"/>
      </w:pPr>
      <w:r>
        <w:rPr>
          <w:rFonts w:ascii="Consolas" w:cs="Consolas" w:eastAsia="Consolas" w:hAnsi="Consolas"/>
          <w:sz w:val="15"/>
          <w:szCs w:val="15"/>
        </w:rPr>
        <w:t xml:space="preserve">GO</w:t>
      </w:r>
    </w:p>
    <w:p>
      <w:pPr>
        <w:pStyle w:val="Heading2"/>
        <w:spacing w:after="120" w:before="260"/>
      </w:pPr>
      <w:r>
        <w:rPr>
          <w:rFonts w:ascii="Calibri" w:cs="Calibri" w:eastAsia="Calibri" w:hAnsi="Calibri"/>
          <w:b/>
          <w:bCs/>
          <w:color w:val="2F5496"/>
          <w:sz w:val="26"/>
          <w:szCs w:val="26"/>
        </w:rPr>
        <w:t xml:space="preserve">3.7 SQL GRANT and DENY Statements</w:t>
      </w:r>
    </w:p>
    <w:p>
      <w:pPr>
        <w:spacing w:after="140" w:line="276"/>
        <w:jc w:val="both"/>
      </w:pPr>
      <w:r>
        <w:rPr>
          <w:rFonts w:ascii="Calibri" w:cs="Calibri" w:eastAsia="Calibri" w:hAnsi="Calibri"/>
          <w:b w:val="false"/>
          <w:bCs w:val="false"/>
          <w:i w:val="false"/>
          <w:iCs w:val="false"/>
          <w:sz w:val="22"/>
          <w:szCs w:val="22"/>
        </w:rPr>
        <w:t xml:space="preserve">The statements below govern the Lakehouse SQL analytics endpoint and Warehouse. They complement — and must not contradict — the workspace roles in Section 3.3. Where the two overlap, the more restrictive outcome must prevail, and Section 3.7.2 defines the audit that verifies this.</w:t>
      </w:r>
    </w:p>
    <w:p>
      <w:pPr>
        <w:pStyle w:val="Heading3"/>
        <w:spacing w:after="100" w:before="200"/>
      </w:pPr>
      <w:r>
        <w:rPr>
          <w:rFonts w:ascii="Calibri" w:cs="Calibri" w:eastAsia="Calibri" w:hAnsi="Calibri"/>
          <w:b/>
          <w:bCs/>
          <w:color w:val="2F5496"/>
          <w:sz w:val="23"/>
          <w:szCs w:val="23"/>
        </w:rPr>
        <w:t xml:space="preserve">3.7.1 Grant and deny script</w:t>
      </w:r>
    </w:p>
    <w:p>
      <w:pPr>
        <w:keepLines/>
        <w:shd w:fill="F4F5F7" w:color="auto" w:val="clear"/>
        <w:spacing w:after="0" w:before="10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-- 1. Database roles: grant to roles, never to individual users.</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CREATE ROLE db_clinical_read_deid;      -- de-identified analytics</w:t>
      </w:r>
    </w:p>
    <w:p>
      <w:pPr>
        <w:keepLines/>
        <w:shd w:fill="F4F5F7" w:color="auto" w:val="clear"/>
        <w:spacing w:after="0" w:before="0" w:line="216"/>
        <w:ind w:left="120" w:right="120"/>
      </w:pPr>
      <w:r>
        <w:rPr>
          <w:rFonts w:ascii="Consolas" w:cs="Consolas" w:eastAsia="Consolas" w:hAnsi="Consolas"/>
          <w:sz w:val="15"/>
          <w:szCs w:val="15"/>
        </w:rPr>
        <w:t xml:space="preserve">CREATE ROLE db_clinical_read_phi;       -- identifiable, restricted</w:t>
      </w:r>
    </w:p>
    <w:p>
      <w:pPr>
        <w:keepLines/>
        <w:shd w:fill="F4F5F7" w:color="auto" w:val="clear"/>
        <w:spacing w:after="0" w:before="0" w:line="216"/>
        <w:ind w:left="120" w:right="120"/>
      </w:pPr>
      <w:r>
        <w:rPr>
          <w:rFonts w:ascii="Consolas" w:cs="Consolas" w:eastAsia="Consolas" w:hAnsi="Consolas"/>
          <w:sz w:val="15"/>
          <w:szCs w:val="15"/>
        </w:rPr>
        <w:t xml:space="preserve">CREATE ROLE db_network_wide_read;       -- bypasses department RLS</w:t>
      </w:r>
    </w:p>
    <w:p>
      <w:pPr>
        <w:keepLines/>
        <w:shd w:fill="F4F5F7" w:color="auto" w:val="clear"/>
        <w:spacing w:after="0" w:before="0" w:line="216"/>
        <w:ind w:left="120" w:right="120"/>
      </w:pPr>
      <w:r>
        <w:rPr>
          <w:rFonts w:ascii="Consolas" w:cs="Consolas" w:eastAsia="Consolas" w:hAnsi="Consolas"/>
          <w:sz w:val="15"/>
          <w:szCs w:val="15"/>
        </w:rPr>
        <w:t xml:space="preserve">CREATE ROLE db_etl_service;             -- automation identities only</w:t>
      </w:r>
    </w:p>
    <w:p>
      <w:pPr>
        <w:keepLines/>
        <w:shd w:fill="F4F5F7" w:color="auto" w:val="clear"/>
        <w:spacing w:after="0" w:before="0" w:line="216"/>
        <w:ind w:left="120" w:right="120"/>
      </w:pPr>
      <w:r>
        <w:rPr>
          <w:rFonts w:ascii="Consolas" w:cs="Consolas" w:eastAsia="Consolas" w:hAnsi="Consolas"/>
          <w:sz w:val="15"/>
          <w:szCs w:val="15"/>
        </w:rPr>
        <w:t xml:space="preserve">CREATE ROLE db_audit_read;              -- compliance, logs only</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ALTER ROLE db_clinical_read_deid ADD MEMBER [SG-Fabric-Clinical-Analysts];</w:t>
      </w:r>
    </w:p>
    <w:p>
      <w:pPr>
        <w:keepLines/>
        <w:shd w:fill="F4F5F7" w:color="auto" w:val="clear"/>
        <w:spacing w:after="0" w:before="0" w:line="216"/>
        <w:ind w:left="120" w:right="120"/>
      </w:pPr>
      <w:r>
        <w:rPr>
          <w:rFonts w:ascii="Consolas" w:cs="Consolas" w:eastAsia="Consolas" w:hAnsi="Consolas"/>
          <w:sz w:val="15"/>
          <w:szCs w:val="15"/>
        </w:rPr>
        <w:t xml:space="preserve">ALTER ROLE db_clinical_read_deid ADD MEMBER [SG-Fabric-Clinical-DeptHeads];</w:t>
      </w:r>
    </w:p>
    <w:p>
      <w:pPr>
        <w:keepLines/>
        <w:shd w:fill="F4F5F7" w:color="auto" w:val="clear"/>
        <w:spacing w:after="0" w:before="0" w:line="216"/>
        <w:ind w:left="120" w:right="120"/>
      </w:pPr>
      <w:r>
        <w:rPr>
          <w:rFonts w:ascii="Consolas" w:cs="Consolas" w:eastAsia="Consolas" w:hAnsi="Consolas"/>
          <w:sz w:val="15"/>
          <w:szCs w:val="15"/>
        </w:rPr>
        <w:t xml:space="preserve">ALTER ROLE db_network_wide_read  ADD MEMBER [SG-Fabric-Clinical-Analysts];</w:t>
      </w:r>
    </w:p>
    <w:p>
      <w:pPr>
        <w:keepLines/>
        <w:shd w:fill="F4F5F7" w:color="auto" w:val="clear"/>
        <w:spacing w:after="0" w:before="0" w:line="216"/>
        <w:ind w:left="120" w:right="120"/>
      </w:pPr>
      <w:r>
        <w:rPr>
          <w:rFonts w:ascii="Consolas" w:cs="Consolas" w:eastAsia="Consolas" w:hAnsi="Consolas"/>
          <w:sz w:val="15"/>
          <w:szCs w:val="15"/>
        </w:rPr>
        <w:t xml:space="preserve">ALTER ROLE db_clinical_read_phi  ADD MEMBER [SG-Fabric-Clinical-Compliance];</w:t>
      </w:r>
    </w:p>
    <w:p>
      <w:pPr>
        <w:keepLines/>
        <w:shd w:fill="F4F5F7" w:color="auto" w:val="clear"/>
        <w:spacing w:after="0" w:before="0" w:line="216"/>
        <w:ind w:left="120" w:right="120"/>
      </w:pPr>
      <w:r>
        <w:rPr>
          <w:rFonts w:ascii="Consolas" w:cs="Consolas" w:eastAsia="Consolas" w:hAnsi="Consolas"/>
          <w:sz w:val="15"/>
          <w:szCs w:val="15"/>
        </w:rPr>
        <w:t xml:space="preserve">ALTER ROLE db_audit_read         ADD MEMBER [SG-Fabric-Clinical-Compliance];</w:t>
      </w:r>
    </w:p>
    <w:p>
      <w:pPr>
        <w:keepLines/>
        <w:shd w:fill="F4F5F7" w:color="auto" w:val="clear"/>
        <w:spacing w:after="0" w:before="0" w:line="216"/>
        <w:ind w:left="120" w:right="120"/>
      </w:pPr>
      <w:r>
        <w:rPr>
          <w:rFonts w:ascii="Consolas" w:cs="Consolas" w:eastAsia="Consolas" w:hAnsi="Consolas"/>
          <w:sz w:val="15"/>
          <w:szCs w:val="15"/>
        </w:rPr>
        <w:t xml:space="preserve">ALTER ROLE db_etl_service        ADD MEMBER [svc-fabric-clinical-etl];</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-- 2. Baseline: no access to anything outside gold.</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DENY SELECT ON SCHEMA::bronze TO db_clinical_read_deid,</w:t>
      </w:r>
    </w:p>
    <w:p>
      <w:pPr>
        <w:keepLines/>
        <w:shd w:fill="F4F5F7" w:color="auto" w:val="clear"/>
        <w:spacing w:after="0" w:before="0" w:line="216"/>
        <w:ind w:left="120" w:right="120"/>
      </w:pPr>
      <w:r>
        <w:rPr>
          <w:rFonts w:ascii="Consolas" w:cs="Consolas" w:eastAsia="Consolas" w:hAnsi="Consolas"/>
          <w:sz w:val="15"/>
          <w:szCs w:val="15"/>
        </w:rPr>
        <w:t xml:space="preserve">                                 db_clinical_read_phi,</w:t>
      </w:r>
    </w:p>
    <w:p>
      <w:pPr>
        <w:keepLines/>
        <w:shd w:fill="F4F5F7" w:color="auto" w:val="clear"/>
        <w:spacing w:after="0" w:before="0" w:line="216"/>
        <w:ind w:left="120" w:right="120"/>
      </w:pPr>
      <w:r>
        <w:rPr>
          <w:rFonts w:ascii="Consolas" w:cs="Consolas" w:eastAsia="Consolas" w:hAnsi="Consolas"/>
          <w:sz w:val="15"/>
          <w:szCs w:val="15"/>
        </w:rPr>
        <w:t xml:space="preserve">                                 db_network_wide_read,</w:t>
      </w:r>
    </w:p>
    <w:p>
      <w:pPr>
        <w:keepLines/>
        <w:shd w:fill="F4F5F7" w:color="auto" w:val="clear"/>
        <w:spacing w:after="0" w:before="0" w:line="216"/>
        <w:ind w:left="120" w:right="120"/>
      </w:pPr>
      <w:r>
        <w:rPr>
          <w:rFonts w:ascii="Consolas" w:cs="Consolas" w:eastAsia="Consolas" w:hAnsi="Consolas"/>
          <w:sz w:val="15"/>
          <w:szCs w:val="15"/>
        </w:rPr>
        <w:t xml:space="preserve">                                 db_audit_read;</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DENY SELECT ON SCHEMA::silver TO db_clinical_read_deid,</w:t>
      </w:r>
    </w:p>
    <w:p>
      <w:pPr>
        <w:keepLines/>
        <w:shd w:fill="F4F5F7" w:color="auto" w:val="clear"/>
        <w:spacing w:after="0" w:before="0" w:line="216"/>
        <w:ind w:left="120" w:right="120"/>
      </w:pPr>
      <w:r>
        <w:rPr>
          <w:rFonts w:ascii="Consolas" w:cs="Consolas" w:eastAsia="Consolas" w:hAnsi="Consolas"/>
          <w:sz w:val="15"/>
          <w:szCs w:val="15"/>
        </w:rPr>
        <w:t xml:space="preserve">                                 db_clinical_read_phi,</w:t>
      </w:r>
    </w:p>
    <w:p>
      <w:pPr>
        <w:keepLines/>
        <w:shd w:fill="F4F5F7" w:color="auto" w:val="clear"/>
        <w:spacing w:after="0" w:before="0" w:line="216"/>
        <w:ind w:left="120" w:right="120"/>
      </w:pPr>
      <w:r>
        <w:rPr>
          <w:rFonts w:ascii="Consolas" w:cs="Consolas" w:eastAsia="Consolas" w:hAnsi="Consolas"/>
          <w:sz w:val="15"/>
          <w:szCs w:val="15"/>
        </w:rPr>
        <w:t xml:space="preserve">                                 db_network_wide_read,</w:t>
      </w:r>
    </w:p>
    <w:p>
      <w:pPr>
        <w:keepLines/>
        <w:shd w:fill="F4F5F7" w:color="auto" w:val="clear"/>
        <w:spacing w:after="0" w:before="0" w:line="216"/>
        <w:ind w:left="120" w:right="120"/>
      </w:pPr>
      <w:r>
        <w:rPr>
          <w:rFonts w:ascii="Consolas" w:cs="Consolas" w:eastAsia="Consolas" w:hAnsi="Consolas"/>
          <w:sz w:val="15"/>
          <w:szCs w:val="15"/>
        </w:rPr>
        <w:t xml:space="preserve">                                 db_audit_read;</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-- 3. De-identified analytics: read gold facts and dimensions,</w:t>
      </w:r>
    </w:p>
    <w:p>
      <w:pPr>
        <w:keepLines/>
        <w:shd w:fill="F4F5F7" w:color="auto" w:val="clear"/>
        <w:spacing w:after="0" w:before="0" w:line="216"/>
        <w:ind w:left="120" w:right="120"/>
      </w:pPr>
      <w:r>
        <w:rPr>
          <w:rFonts w:ascii="Consolas" w:cs="Consolas" w:eastAsia="Consolas" w:hAnsi="Consolas"/>
          <w:sz w:val="15"/>
          <w:szCs w:val="15"/>
        </w:rPr>
        <w:t xml:space="preserve">--    but never the PHI vault.</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GRANT SELECT ON SCHEMA::gold          TO db_clinical_read_deid;</w:t>
      </w:r>
    </w:p>
    <w:p>
      <w:pPr>
        <w:keepLines/>
        <w:shd w:fill="F4F5F7" w:color="auto" w:val="clear"/>
        <w:spacing w:after="0" w:before="0" w:line="216"/>
        <w:ind w:left="120" w:right="120"/>
      </w:pPr>
      <w:r>
        <w:rPr>
          <w:rFonts w:ascii="Consolas" w:cs="Consolas" w:eastAsia="Consolas" w:hAnsi="Consolas"/>
          <w:sz w:val="15"/>
          <w:szCs w:val="15"/>
        </w:rPr>
        <w:t xml:space="preserve">DENY  SELECT ON gold.dim_patient_vault TO db_clinical_read_deid;</w:t>
      </w:r>
    </w:p>
    <w:p>
      <w:pPr>
        <w:keepLines/>
        <w:shd w:fill="F4F5F7" w:color="auto" w:val="clear"/>
        <w:spacing w:after="0" w:before="0" w:line="216"/>
        <w:ind w:left="120" w:right="120"/>
      </w:pPr>
      <w:r>
        <w:rPr>
          <w:rFonts w:ascii="Consolas" w:cs="Consolas" w:eastAsia="Consolas" w:hAnsi="Consolas"/>
          <w:sz w:val="15"/>
          <w:szCs w:val="15"/>
        </w:rPr>
        <w:t xml:space="preserve">DENY  SELECT ON gold.sec_user_scope    TO db_clinical_read_deid;</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Belt and braces: deny the specific identifier columns even if a</w:t>
      </w:r>
    </w:p>
    <w:p>
      <w:pPr>
        <w:keepLines/>
        <w:shd w:fill="F4F5F7" w:color="auto" w:val="clear"/>
        <w:spacing w:after="0" w:before="0" w:line="216"/>
        <w:ind w:left="120" w:right="120"/>
      </w:pPr>
      <w:r>
        <w:rPr>
          <w:rFonts w:ascii="Consolas" w:cs="Consolas" w:eastAsia="Consolas" w:hAnsi="Consolas"/>
          <w:sz w:val="15"/>
          <w:szCs w:val="15"/>
        </w:rPr>
        <w:t xml:space="preserve">-- future schema change surfaces them in a general gold table.</w:t>
      </w:r>
    </w:p>
    <w:p>
      <w:pPr>
        <w:keepLines/>
        <w:shd w:fill="F4F5F7" w:color="auto" w:val="clear"/>
        <w:spacing w:after="0" w:before="0" w:line="216"/>
        <w:ind w:left="120" w:right="120"/>
      </w:pPr>
      <w:r>
        <w:rPr>
          <w:rFonts w:ascii="Consolas" w:cs="Consolas" w:eastAsia="Consolas" w:hAnsi="Consolas"/>
          <w:sz w:val="15"/>
          <w:szCs w:val="15"/>
        </w:rPr>
        <w:t xml:space="preserve">DENY SELECT ON gold.dim_patient ( PatientName, MedicalRecordNumber,</w:t>
      </w:r>
    </w:p>
    <w:p>
      <w:pPr>
        <w:keepLines/>
        <w:shd w:fill="F4F5F7" w:color="auto" w:val="clear"/>
        <w:spacing w:after="0" w:before="0" w:line="216"/>
        <w:ind w:left="120" w:right="120"/>
      </w:pPr>
      <w:r>
        <w:rPr>
          <w:rFonts w:ascii="Consolas" w:cs="Consolas" w:eastAsia="Consolas" w:hAnsi="Consolas"/>
          <w:sz w:val="15"/>
          <w:szCs w:val="15"/>
        </w:rPr>
        <w:t xml:space="preserve">                                  DateOfBirth, SocialSecurityNumber )</w:t>
      </w:r>
    </w:p>
    <w:p>
      <w:pPr>
        <w:keepLines/>
        <w:shd w:fill="F4F5F7" w:color="auto" w:val="clear"/>
        <w:spacing w:after="0" w:before="0" w:line="216"/>
        <w:ind w:left="120" w:right="120"/>
      </w:pPr>
      <w:r>
        <w:rPr>
          <w:rFonts w:ascii="Consolas" w:cs="Consolas" w:eastAsia="Consolas" w:hAnsi="Consolas"/>
          <w:sz w:val="15"/>
          <w:szCs w:val="15"/>
        </w:rPr>
        <w:t xml:space="preserve">     TO db_clinical_read_deid;</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-- 4. PHI-eligible access: compliance and privacy investigation only.</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GRANT SELECT ON SCHEMA::gold           TO db_clinical_read_phi;</w:t>
      </w:r>
    </w:p>
    <w:p>
      <w:pPr>
        <w:keepLines/>
        <w:shd w:fill="F4F5F7" w:color="auto" w:val="clear"/>
        <w:spacing w:after="0" w:before="0" w:line="216"/>
        <w:ind w:left="120" w:right="120"/>
      </w:pPr>
      <w:r>
        <w:rPr>
          <w:rFonts w:ascii="Consolas" w:cs="Consolas" w:eastAsia="Consolas" w:hAnsi="Consolas"/>
          <w:sz w:val="15"/>
          <w:szCs w:val="15"/>
        </w:rPr>
        <w:t xml:space="preserve">GRANT SELECT ON gold.dim_patient_vault TO db_clinical_read_phi;</w:t>
      </w:r>
    </w:p>
    <w:p>
      <w:pPr>
        <w:keepLines/>
        <w:shd w:fill="F4F5F7" w:color="auto" w:val="clear"/>
        <w:spacing w:after="0" w:before="0" w:line="216"/>
        <w:ind w:left="120" w:right="120"/>
      </w:pPr>
      <w:r>
        <w:rPr>
          <w:rFonts w:ascii="Consolas" w:cs="Consolas" w:eastAsia="Consolas" w:hAnsi="Consolas"/>
          <w:sz w:val="15"/>
          <w:szCs w:val="15"/>
        </w:rPr>
        <w:t xml:space="preserve">GRANT UNMASK                           TO db_clinical_read_phi;</w:t>
      </w:r>
    </w:p>
    <w:p>
      <w:pPr>
        <w:keepLines/>
        <w:shd w:fill="F4F5F7" w:color="auto" w:val="clear"/>
        <w:spacing w:after="0" w:before="0" w:line="216"/>
        <w:ind w:left="120" w:right="120"/>
      </w:pPr>
      <w:r>
        <w:rPr>
          <w:rFonts w:ascii="Consolas" w:cs="Consolas" w:eastAsia="Consolas" w:hAnsi="Consolas"/>
          <w:sz w:val="15"/>
          <w:szCs w:val="15"/>
        </w:rPr>
        <w:t xml:space="preserve">DENY  INSERT, UPDATE, DELETE ON SCHEMA::gold TO db_clinical_read_phi;</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-- 5. ETL service principal: write to gold, read everything upstream,</w:t>
      </w:r>
    </w:p>
    <w:p>
      <w:pPr>
        <w:keepLines/>
        <w:shd w:fill="F4F5F7" w:color="auto" w:val="clear"/>
        <w:spacing w:after="0" w:before="0" w:line="216"/>
        <w:ind w:left="120" w:right="120"/>
      </w:pPr>
      <w:r>
        <w:rPr>
          <w:rFonts w:ascii="Consolas" w:cs="Consolas" w:eastAsia="Consolas" w:hAnsi="Consolas"/>
          <w:sz w:val="15"/>
          <w:szCs w:val="15"/>
        </w:rPr>
        <w:t xml:space="preserve">--    but no rights to change security objects.</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GRANT SELECT                          ON SCHEMA::bronze TO db_etl_service;</w:t>
      </w:r>
    </w:p>
    <w:p>
      <w:pPr>
        <w:keepLines/>
        <w:shd w:fill="F4F5F7" w:color="auto" w:val="clear"/>
        <w:spacing w:after="0" w:before="0" w:line="216"/>
        <w:ind w:left="120" w:right="120"/>
      </w:pPr>
      <w:r>
        <w:rPr>
          <w:rFonts w:ascii="Consolas" w:cs="Consolas" w:eastAsia="Consolas" w:hAnsi="Consolas"/>
          <w:sz w:val="15"/>
          <w:szCs w:val="15"/>
        </w:rPr>
        <w:t xml:space="preserve">GRANT SELECT, INSERT, UPDATE, DELETE  ON SCHEMA::silver TO db_etl_service;</w:t>
      </w:r>
    </w:p>
    <w:p>
      <w:pPr>
        <w:keepLines/>
        <w:shd w:fill="F4F5F7" w:color="auto" w:val="clear"/>
        <w:spacing w:after="0" w:before="0" w:line="216"/>
        <w:ind w:left="120" w:right="120"/>
      </w:pPr>
      <w:r>
        <w:rPr>
          <w:rFonts w:ascii="Consolas" w:cs="Consolas" w:eastAsia="Consolas" w:hAnsi="Consolas"/>
          <w:sz w:val="15"/>
          <w:szCs w:val="15"/>
        </w:rPr>
        <w:t xml:space="preserve">GRANT SELECT, INSERT, UPDATE, DELETE  ON SCHEMA::gold   TO db_etl_service;</w:t>
      </w:r>
    </w:p>
    <w:p>
      <w:pPr>
        <w:keepLines/>
        <w:shd w:fill="F4F5F7" w:color="auto" w:val="clear"/>
        <w:spacing w:after="0" w:before="0" w:line="216"/>
        <w:ind w:left="120" w:right="120"/>
      </w:pPr>
      <w:r>
        <w:rPr>
          <w:rFonts w:ascii="Consolas" w:cs="Consolas" w:eastAsia="Consolas" w:hAnsi="Consolas"/>
          <w:sz w:val="15"/>
          <w:szCs w:val="15"/>
        </w:rPr>
        <w:t xml:space="preserve">DENY  ALTER, CONTROL                  ON SCHEMA::sec    TO db_etl_service;</w:t>
      </w:r>
    </w:p>
    <w:p>
      <w:pPr>
        <w:keepLines/>
        <w:shd w:fill="F4F5F7" w:color="auto" w:val="clear"/>
        <w:spacing w:after="0" w:before="0" w:line="216"/>
        <w:ind w:left="120" w:right="120"/>
      </w:pPr>
      <w:r>
        <w:rPr>
          <w:rFonts w:ascii="Consolas" w:cs="Consolas" w:eastAsia="Consolas" w:hAnsi="Consolas"/>
          <w:sz w:val="15"/>
          <w:szCs w:val="15"/>
        </w:rPr>
        <w:t xml:space="preserve">DENY  ALTER ANY SECURITY POLICY                         TO db_etl_service;</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-- 6. Audit access: log tables only, no clinical data.</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GRANT SELECT ON SCHEMA::audit TO db_audit_read;</w:t>
      </w:r>
    </w:p>
    <w:p>
      <w:pPr>
        <w:keepLines/>
        <w:shd w:fill="F4F5F7" w:color="auto" w:val="clear"/>
        <w:spacing w:after="0" w:before="0" w:line="216"/>
        <w:ind w:left="120" w:right="120"/>
      </w:pPr>
      <w:r>
        <w:rPr>
          <w:rFonts w:ascii="Consolas" w:cs="Consolas" w:eastAsia="Consolas" w:hAnsi="Consolas"/>
          <w:sz w:val="15"/>
          <w:szCs w:val="15"/>
        </w:rPr>
        <w:t xml:space="preserve">DENY  SELECT ON SCHEMA::gold  TO db_audit_read;</w:t>
      </w:r>
    </w:p>
    <w:p>
      <w:pPr>
        <w:keepLines/>
        <w:shd w:fill="F4F5F7" w:color="auto" w:val="clear"/>
        <w:spacing w:after="0" w:before="0" w:line="216"/>
        <w:ind w:left="120" w:right="120"/>
      </w:pPr>
      <w:r>
        <w:rPr>
          <w:rFonts w:ascii="Consolas" w:cs="Consolas" w:eastAsia="Consolas" w:hAnsi="Consolas"/>
          <w:sz w:val="15"/>
          <w:szCs w:val="15"/>
        </w:rPr>
        <w:t xml:space="preserve">GO</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-- 7. Universal prohibitions.</w:t>
      </w:r>
    </w:p>
    <w:p>
      <w:pPr>
        <w:keepLines/>
        <w:shd w:fill="F4F5F7" w:color="auto" w:val="clear"/>
        <w:spacing w:after="0" w:before="0" w:line="216"/>
        <w:ind w:left="120" w:right="120"/>
      </w:pPr>
      <w:r>
        <w:rPr>
          <w:rFonts w:ascii="Consolas" w:cs="Consolas" w:eastAsia="Consolas" w:hAnsi="Consolas"/>
          <w:sz w:val="15"/>
          <w:szCs w:val="15"/>
        </w:rPr>
        <w:t xml:space="preserve">--------------------------------------------------------------------</w:t>
      </w:r>
    </w:p>
    <w:p>
      <w:pPr>
        <w:keepLines/>
        <w:shd w:fill="F4F5F7" w:color="auto" w:val="clear"/>
        <w:spacing w:after="0" w:before="0" w:line="216"/>
        <w:ind w:left="120" w:right="120"/>
      </w:pPr>
      <w:r>
        <w:rPr>
          <w:rFonts w:ascii="Consolas" w:cs="Consolas" w:eastAsia="Consolas" w:hAnsi="Consolas"/>
          <w:sz w:val="15"/>
          <w:szCs w:val="15"/>
        </w:rPr>
        <w:t xml:space="preserve">DENY ALTER ANY USER, ALTER ANY ROLE TO db_clinical_read_deid,</w:t>
      </w:r>
    </w:p>
    <w:p>
      <w:pPr>
        <w:keepLines/>
        <w:shd w:fill="F4F5F7" w:color="auto" w:val="clear"/>
        <w:spacing w:after="0" w:before="0" w:line="216"/>
        <w:ind w:left="120" w:right="120"/>
      </w:pPr>
      <w:r>
        <w:rPr>
          <w:rFonts w:ascii="Consolas" w:cs="Consolas" w:eastAsia="Consolas" w:hAnsi="Consolas"/>
          <w:sz w:val="15"/>
          <w:szCs w:val="15"/>
        </w:rPr>
        <w:t xml:space="preserve">                                       db_clinical_read_phi,</w:t>
      </w:r>
    </w:p>
    <w:p>
      <w:pPr>
        <w:keepLines/>
        <w:shd w:fill="F4F5F7" w:color="auto" w:val="clear"/>
        <w:spacing w:after="0" w:before="0" w:line="216"/>
        <w:ind w:left="120" w:right="120"/>
      </w:pPr>
      <w:r>
        <w:rPr>
          <w:rFonts w:ascii="Consolas" w:cs="Consolas" w:eastAsia="Consolas" w:hAnsi="Consolas"/>
          <w:sz w:val="15"/>
          <w:szCs w:val="15"/>
        </w:rPr>
        <w:t xml:space="preserve">                                       db_network_wide_read,</w:t>
      </w:r>
    </w:p>
    <w:p>
      <w:pPr>
        <w:keepLines/>
        <w:shd w:fill="F4F5F7" w:color="auto" w:val="clear"/>
        <w:spacing w:after="0" w:before="0" w:line="216"/>
        <w:ind w:left="120" w:right="120"/>
      </w:pPr>
      <w:r>
        <w:rPr>
          <w:rFonts w:ascii="Consolas" w:cs="Consolas" w:eastAsia="Consolas" w:hAnsi="Consolas"/>
          <w:sz w:val="15"/>
          <w:szCs w:val="15"/>
        </w:rPr>
        <w:t xml:space="preserve">                                       db_audit_read;</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DENY VIEW DEFINITION ON SCHEMA::sec TO db_clinical_read_deid,</w:t>
      </w:r>
    </w:p>
    <w:p>
      <w:pPr>
        <w:keepLines/>
        <w:shd w:fill="F4F5F7" w:color="auto" w:val="clear"/>
        <w:spacing w:after="0" w:before="0" w:line="216"/>
        <w:ind w:left="120" w:right="120"/>
      </w:pPr>
      <w:r>
        <w:rPr>
          <w:rFonts w:ascii="Consolas" w:cs="Consolas" w:eastAsia="Consolas" w:hAnsi="Consolas"/>
          <w:sz w:val="15"/>
          <w:szCs w:val="15"/>
        </w:rPr>
        <w:t xml:space="preserve">                                       db_network_wide_read;</w:t>
      </w:r>
    </w:p>
    <w:p>
      <w:pPr>
        <w:keepLines/>
        <w:shd w:fill="F4F5F7" w:color="auto" w:val="clear"/>
        <w:spacing w:after="180" w:before="0" w:line="216"/>
        <w:ind w:left="120" w:right="120"/>
      </w:pPr>
      <w:r>
        <w:rPr>
          <w:rFonts w:ascii="Consolas" w:cs="Consolas" w:eastAsia="Consolas" w:hAnsi="Consolas"/>
          <w:sz w:val="15"/>
          <w:szCs w:val="15"/>
        </w:rPr>
        <w:t xml:space="preserve">GO</w:t>
      </w:r>
    </w:p>
    <w:p>
      <w:pPr>
        <w:spacing w:after="140" w:line="276"/>
        <w:jc w:val="both"/>
      </w:pPr>
      <w:r>
        <w:rPr>
          <w:rFonts w:ascii="Calibri" w:cs="Calibri" w:eastAsia="Calibri" w:hAnsi="Calibri"/>
          <w:b w:val="false"/>
          <w:bCs w:val="false"/>
          <w:i w:val="false"/>
          <w:iCs w:val="false"/>
          <w:sz w:val="22"/>
          <w:szCs w:val="22"/>
        </w:rPr>
        <w:t xml:space="preserve">Two conventions are worth stating explicitly. DENY beats GRANT in SQL Server permission resolution, which is why the pattern throughout is to grant broadly at schema level and then deny narrowly at the sensitive object. And permissions are granted to database roles rather than to Entra groups directly, so that changing what a persona can do is a single role edit rather than a hunt through scattered object grants.</w:t>
      </w:r>
    </w:p>
    <w:p>
      <w:pPr>
        <w:pStyle w:val="Heading3"/>
        <w:spacing w:after="100" w:before="200"/>
      </w:pPr>
      <w:r>
        <w:rPr>
          <w:rFonts w:ascii="Calibri" w:cs="Calibri" w:eastAsia="Calibri" w:hAnsi="Calibri"/>
          <w:b/>
          <w:bCs/>
          <w:color w:val="2F5496"/>
          <w:sz w:val="23"/>
          <w:szCs w:val="23"/>
        </w:rPr>
        <w:t xml:space="preserve">3.7.2 Reconciling SQL permissions with workspace roles</w:t>
      </w:r>
    </w:p>
    <w:p>
      <w:pPr>
        <w:spacing w:after="140" w:line="276"/>
        <w:jc w:val="both"/>
      </w:pPr>
      <w:r>
        <w:rPr>
          <w:rFonts w:ascii="Calibri" w:cs="Calibri" w:eastAsia="Calibri" w:hAnsi="Calibri"/>
          <w:b w:val="false"/>
          <w:bCs w:val="false"/>
          <w:i w:val="false"/>
          <w:iCs w:val="false"/>
          <w:sz w:val="22"/>
          <w:szCs w:val="22"/>
        </w:rPr>
        <w:t xml:space="preserve">Workspace roles and SQL grants are two independent permission systems over the same data, and they can disagree. A workspace Viewer with OneLake data access retained could read gold files directly regardless of a SQL DENY; conversely a SQL GRANT is meaningless to a user with no workspace access at all. Three rules resolve this.</w:t>
      </w:r>
    </w:p>
    <w:p>
      <w:pPr>
        <w:pStyle w:val="ListParagraph"/>
        <w:numPr>
          <w:ilvl w:val="0"/>
          <w:numId w:val="5"/>
        </w:numPr>
        <w:spacing w:after="110" w:line="276"/>
      </w:pPr>
      <w:r>
        <w:rPr>
          <w:rFonts w:ascii="Calibri" w:cs="Calibri" w:eastAsia="Calibri" w:hAnsi="Calibri"/>
          <w:b w:val="false"/>
          <w:bCs w:val="false"/>
          <w:i w:val="false"/>
          <w:iCs w:val="false"/>
          <w:sz w:val="22"/>
          <w:szCs w:val="22"/>
        </w:rPr>
        <w:t xml:space="preserve">The workspace role establishes the ceiling. No SQL GRANT can widen access beyond what the workspace role permits, and OneLake data access is removed for Viewer on bronze and silver so that file-level reads cannot bypass the SQL layer.</w:t>
      </w:r>
    </w:p>
    <w:p>
      <w:pPr>
        <w:pStyle w:val="ListParagraph"/>
        <w:numPr>
          <w:ilvl w:val="0"/>
          <w:numId w:val="5"/>
        </w:numPr>
        <w:spacing w:after="110" w:line="276"/>
      </w:pPr>
      <w:r>
        <w:rPr>
          <w:rFonts w:ascii="Calibri" w:cs="Calibri" w:eastAsia="Calibri" w:hAnsi="Calibri"/>
          <w:b w:val="false"/>
          <w:bCs w:val="false"/>
          <w:i w:val="false"/>
          <w:iCs w:val="false"/>
          <w:sz w:val="22"/>
          <w:szCs w:val="22"/>
        </w:rPr>
        <w:t xml:space="preserve">SQL DENY establishes the floor. Where a user holds workspace access that would otherwise permit an object, an explicit DENY on that object removes it.</w:t>
      </w:r>
    </w:p>
    <w:p>
      <w:pPr>
        <w:pStyle w:val="ListParagraph"/>
        <w:numPr>
          <w:ilvl w:val="0"/>
          <w:numId w:val="5"/>
        </w:numPr>
        <w:spacing w:after="110" w:line="276"/>
      </w:pPr>
      <w:r>
        <w:rPr>
          <w:rFonts w:ascii="Calibri" w:cs="Calibri" w:eastAsia="Calibri" w:hAnsi="Calibri"/>
          <w:b w:val="false"/>
          <w:bCs w:val="false"/>
          <w:i w:val="false"/>
          <w:iCs w:val="false"/>
          <w:sz w:val="22"/>
          <w:szCs w:val="22"/>
        </w:rPr>
        <w:t xml:space="preserve">Overlaps are audited, not assumed. A monthly reconciliation job enumerates effective permissions from both systems for every Entra group and reports any principal whose effective SQL access exceeds its intended persona. The report goes to the Information Security Officer and the Privacy Officer. Any discrepancy is treated as a finding with a fourteen-day remediation deadline, and unresolved findings escalate to the Architecture Review Board.</w:t>
      </w:r>
    </w:p>
    <w:p>
      <w:pPr>
        <w:keepLines/>
        <w:shd w:fill="F4F5F7" w:color="auto" w:val="clear"/>
        <w:spacing w:after="0" w:before="100" w:line="216"/>
        <w:ind w:left="120" w:right="120"/>
      </w:pPr>
      <w:r>
        <w:rPr>
          <w:rFonts w:ascii="Consolas" w:cs="Consolas" w:eastAsia="Consolas" w:hAnsi="Consolas"/>
          <w:sz w:val="15"/>
          <w:szCs w:val="15"/>
        </w:rPr>
        <w:t xml:space="preserve">-- Monthly effective-permission extract feeding the reconciliation report</w:t>
      </w:r>
    </w:p>
    <w:p>
      <w:pPr>
        <w:keepLines/>
        <w:shd w:fill="F4F5F7" w:color="auto" w:val="clear"/>
        <w:spacing w:after="0" w:before="0" w:line="216"/>
        <w:ind w:left="120" w:right="120"/>
      </w:pPr>
      <w:r>
        <w:rPr>
          <w:rFonts w:ascii="Consolas" w:cs="Consolas" w:eastAsia="Consolas" w:hAnsi="Consolas"/>
          <w:sz w:val="15"/>
          <w:szCs w:val="15"/>
        </w:rPr>
        <w:t xml:space="preserve">SELECT  pr.name                AS principal_name,</w:t>
      </w:r>
    </w:p>
    <w:p>
      <w:pPr>
        <w:keepLines/>
        <w:shd w:fill="F4F5F7" w:color="auto" w:val="clear"/>
        <w:spacing w:after="0" w:before="0" w:line="216"/>
        <w:ind w:left="120" w:right="120"/>
      </w:pPr>
      <w:r>
        <w:rPr>
          <w:rFonts w:ascii="Consolas" w:cs="Consolas" w:eastAsia="Consolas" w:hAnsi="Consolas"/>
          <w:sz w:val="15"/>
          <w:szCs w:val="15"/>
        </w:rPr>
        <w:t xml:space="preserve">        pr.type_desc           AS principal_type,</w:t>
      </w:r>
    </w:p>
    <w:p>
      <w:pPr>
        <w:keepLines/>
        <w:shd w:fill="F4F5F7" w:color="auto" w:val="clear"/>
        <w:spacing w:after="0" w:before="0" w:line="216"/>
        <w:ind w:left="120" w:right="120"/>
      </w:pPr>
      <w:r>
        <w:rPr>
          <w:rFonts w:ascii="Consolas" w:cs="Consolas" w:eastAsia="Consolas" w:hAnsi="Consolas"/>
          <w:sz w:val="15"/>
          <w:szCs w:val="15"/>
        </w:rPr>
        <w:t xml:space="preserve">        pe.state_desc          AS grant_or_deny,</w:t>
      </w:r>
    </w:p>
    <w:p>
      <w:pPr>
        <w:keepLines/>
        <w:shd w:fill="F4F5F7" w:color="auto" w:val="clear"/>
        <w:spacing w:after="0" w:before="0" w:line="216"/>
        <w:ind w:left="120" w:right="120"/>
      </w:pPr>
      <w:r>
        <w:rPr>
          <w:rFonts w:ascii="Consolas" w:cs="Consolas" w:eastAsia="Consolas" w:hAnsi="Consolas"/>
          <w:sz w:val="15"/>
          <w:szCs w:val="15"/>
        </w:rPr>
        <w:t xml:space="preserve">        pe.permission_name,</w:t>
      </w:r>
    </w:p>
    <w:p>
      <w:pPr>
        <w:keepLines/>
        <w:shd w:fill="F4F5F7" w:color="auto" w:val="clear"/>
        <w:spacing w:after="0" w:before="0" w:line="216"/>
        <w:ind w:left="120" w:right="120"/>
      </w:pPr>
      <w:r>
        <w:rPr>
          <w:rFonts w:ascii="Consolas" w:cs="Consolas" w:eastAsia="Consolas" w:hAnsi="Consolas"/>
          <w:sz w:val="15"/>
          <w:szCs w:val="15"/>
        </w:rPr>
        <w:t xml:space="preserve">        SCHEMA_NAME(o.schema_id) AS schema_name,</w:t>
      </w:r>
    </w:p>
    <w:p>
      <w:pPr>
        <w:keepLines/>
        <w:shd w:fill="F4F5F7" w:color="auto" w:val="clear"/>
        <w:spacing w:after="0" w:before="0" w:line="216"/>
        <w:ind w:left="120" w:right="120"/>
      </w:pPr>
      <w:r>
        <w:rPr>
          <w:rFonts w:ascii="Consolas" w:cs="Consolas" w:eastAsia="Consolas" w:hAnsi="Consolas"/>
          <w:sz w:val="15"/>
          <w:szCs w:val="15"/>
        </w:rPr>
        <w:t xml:space="preserve">        o.name                 AS object_name,</w:t>
      </w:r>
    </w:p>
    <w:p>
      <w:pPr>
        <w:keepLines/>
        <w:shd w:fill="F4F5F7" w:color="auto" w:val="clear"/>
        <w:spacing w:after="0" w:before="0" w:line="216"/>
        <w:ind w:left="120" w:right="120"/>
      </w:pPr>
      <w:r>
        <w:rPr>
          <w:rFonts w:ascii="Consolas" w:cs="Consolas" w:eastAsia="Consolas" w:hAnsi="Consolas"/>
          <w:sz w:val="15"/>
          <w:szCs w:val="15"/>
        </w:rPr>
        <w:t xml:space="preserve">        c.name                 AS column_name</w:t>
      </w:r>
    </w:p>
    <w:p>
      <w:pPr>
        <w:keepLines/>
        <w:shd w:fill="F4F5F7" w:color="auto" w:val="clear"/>
        <w:spacing w:after="0" w:before="0" w:line="216"/>
        <w:ind w:left="120" w:right="120"/>
      </w:pPr>
      <w:r>
        <w:rPr>
          <w:rFonts w:ascii="Consolas" w:cs="Consolas" w:eastAsia="Consolas" w:hAnsi="Consolas"/>
          <w:sz w:val="15"/>
          <w:szCs w:val="15"/>
        </w:rPr>
        <w:t xml:space="preserve">FROM    sys.database_permissions AS pe</w:t>
      </w:r>
    </w:p>
    <w:p>
      <w:pPr>
        <w:keepLines/>
        <w:shd w:fill="F4F5F7" w:color="auto" w:val="clear"/>
        <w:spacing w:after="0" w:before="0" w:line="216"/>
        <w:ind w:left="120" w:right="120"/>
      </w:pPr>
      <w:r>
        <w:rPr>
          <w:rFonts w:ascii="Consolas" w:cs="Consolas" w:eastAsia="Consolas" w:hAnsi="Consolas"/>
          <w:sz w:val="15"/>
          <w:szCs w:val="15"/>
        </w:rPr>
        <w:t xml:space="preserve">JOIN    sys.database_principals  AS pr ON pr.principal_id = pe.grantee_principal_id</w:t>
      </w:r>
    </w:p>
    <w:p>
      <w:pPr>
        <w:keepLines/>
        <w:shd w:fill="F4F5F7" w:color="auto" w:val="clear"/>
        <w:spacing w:after="0" w:before="0" w:line="216"/>
        <w:ind w:left="120" w:right="120"/>
      </w:pPr>
      <w:r>
        <w:rPr>
          <w:rFonts w:ascii="Consolas" w:cs="Consolas" w:eastAsia="Consolas" w:hAnsi="Consolas"/>
          <w:sz w:val="15"/>
          <w:szCs w:val="15"/>
        </w:rPr>
        <w:t xml:space="preserve">LEFT JOIN sys.objects            AS o  ON o.object_id     = pe.major_id</w:t>
      </w:r>
    </w:p>
    <w:p>
      <w:pPr>
        <w:keepLines/>
        <w:shd w:fill="F4F5F7" w:color="auto" w:val="clear"/>
        <w:spacing w:after="0" w:before="0" w:line="216"/>
        <w:ind w:left="120" w:right="120"/>
      </w:pPr>
      <w:r>
        <w:rPr>
          <w:rFonts w:ascii="Consolas" w:cs="Consolas" w:eastAsia="Consolas" w:hAnsi="Consolas"/>
          <w:sz w:val="15"/>
          <w:szCs w:val="15"/>
        </w:rPr>
        <w:t xml:space="preserve">LEFT JOIN sys.columns            AS c  ON c.object_id     = pe.major_id</w:t>
      </w:r>
    </w:p>
    <w:p>
      <w:pPr>
        <w:keepLines/>
        <w:shd w:fill="F4F5F7" w:color="auto" w:val="clear"/>
        <w:spacing w:after="0" w:before="0" w:line="216"/>
        <w:ind w:left="120" w:right="120"/>
      </w:pPr>
      <w:r>
        <w:rPr>
          <w:rFonts w:ascii="Consolas" w:cs="Consolas" w:eastAsia="Consolas" w:hAnsi="Consolas"/>
          <w:sz w:val="15"/>
          <w:szCs w:val="15"/>
        </w:rPr>
        <w:t xml:space="preserve">                                      AND c.column_id     = pe.minor_id</w:t>
      </w:r>
    </w:p>
    <w:p>
      <w:pPr>
        <w:keepLines/>
        <w:shd w:fill="F4F5F7" w:color="auto" w:val="clear"/>
        <w:spacing w:after="0" w:before="0" w:line="216"/>
        <w:ind w:left="120" w:right="120"/>
      </w:pPr>
      <w:r>
        <w:rPr>
          <w:rFonts w:ascii="Consolas" w:cs="Consolas" w:eastAsia="Consolas" w:hAnsi="Consolas"/>
          <w:sz w:val="15"/>
          <w:szCs w:val="15"/>
        </w:rPr>
        <w:t xml:space="preserve">WHERE   pr.name LIKE 'db_%' OR pr.name LIKE 'SG-Fabric-%'</w:t>
      </w:r>
    </w:p>
    <w:p>
      <w:pPr>
        <w:keepLines/>
        <w:shd w:fill="F4F5F7" w:color="auto" w:val="clear"/>
        <w:spacing w:after="180" w:before="0" w:line="216"/>
        <w:ind w:left="120" w:right="120"/>
      </w:pPr>
      <w:r>
        <w:rPr>
          <w:rFonts w:ascii="Consolas" w:cs="Consolas" w:eastAsia="Consolas" w:hAnsi="Consolas"/>
          <w:sz w:val="15"/>
          <w:szCs w:val="15"/>
        </w:rPr>
        <w:t xml:space="preserve">ORDER BY principal_name, schema_name, object_name, column_name;</w:t>
      </w:r>
    </w:p>
    <w:p>
      <w:pPr>
        <w:pStyle w:val="Heading2"/>
        <w:spacing w:after="120" w:before="260"/>
      </w:pPr>
      <w:r>
        <w:rPr>
          <w:rFonts w:ascii="Calibri" w:cs="Calibri" w:eastAsia="Calibri" w:hAnsi="Calibri"/>
          <w:b/>
          <w:bCs/>
          <w:color w:val="2F5496"/>
          <w:sz w:val="26"/>
          <w:szCs w:val="26"/>
        </w:rPr>
        <w:t xml:space="preserve">3.8 HIPAA Compliance Considerations</w:t>
      </w:r>
    </w:p>
    <w:p>
      <w:pPr>
        <w:pStyle w:val="Heading3"/>
        <w:spacing w:after="100" w:before="200"/>
      </w:pPr>
      <w:r>
        <w:rPr>
          <w:rFonts w:ascii="Calibri" w:cs="Calibri" w:eastAsia="Calibri" w:hAnsi="Calibri"/>
          <w:b/>
          <w:bCs/>
          <w:color w:val="2F5496"/>
          <w:sz w:val="23"/>
          <w:szCs w:val="23"/>
        </w:rPr>
        <w:t xml:space="preserve">3.8.1 Minimum necessary</w:t>
      </w:r>
    </w:p>
    <w:p>
      <w:pPr>
        <w:spacing w:after="140" w:line="276"/>
        <w:jc w:val="both"/>
      </w:pPr>
      <w:r>
        <w:rPr>
          <w:rFonts w:ascii="Calibri" w:cs="Calibri" w:eastAsia="Calibri" w:hAnsi="Calibri"/>
          <w:b w:val="false"/>
          <w:bCs w:val="false"/>
          <w:i w:val="false"/>
          <w:iCs w:val="false"/>
          <w:sz w:val="22"/>
          <w:szCs w:val="22"/>
        </w:rPr>
        <w:t xml:space="preserve">The HIPAA minimum necessary standard requires that access be limited to the least PHI needed to accomplish the purpose. The platform implements this through the layered controls already described, and the mapping is explicit so it can be evidenced during an audit: role-based workspace assignment limits who reaches the platform; RLS limits which patients each role can see; OLS and CLS limit which attributes exist for that role; and de-identification during the silver-to-gold build means most analytic work never touches identifiers at all. Access requests are reviewed against a documented justification, recorded in sec_user_scope with GrantedBy and GrantReason, and recertified quarterly by the relevant department head with a fourteen-day response window; scopes not recertified expire automatically.</w:t>
      </w:r>
    </w:p>
    <w:p>
      <w:pPr>
        <w:pStyle w:val="Heading3"/>
        <w:spacing w:after="100" w:before="200"/>
      </w:pPr>
      <w:r>
        <w:rPr>
          <w:rFonts w:ascii="Calibri" w:cs="Calibri" w:eastAsia="Calibri" w:hAnsi="Calibri"/>
          <w:b/>
          <w:bCs/>
          <w:color w:val="2F5496"/>
          <w:sz w:val="23"/>
          <w:szCs w:val="23"/>
        </w:rPr>
        <w:t xml:space="preserve">3.8.2 Audit logging</w:t>
      </w:r>
    </w:p>
    <w:p>
      <w:pPr>
        <w:spacing w:after="140" w:line="276"/>
        <w:jc w:val="both"/>
      </w:pPr>
      <w:r>
        <w:rPr>
          <w:rFonts w:ascii="Calibri" w:cs="Calibri" w:eastAsia="Calibri" w:hAnsi="Calibri"/>
          <w:b w:val="false"/>
          <w:bCs w:val="false"/>
          <w:i w:val="false"/>
          <w:iCs w:val="false"/>
          <w:sz w:val="22"/>
          <w:szCs w:val="22"/>
        </w:rPr>
        <w:t xml:space="preserve">HIPAA requires that the network be able to reconstruct who accessed PHI, when, and what they did. Four log sources are combined and exported daily to the enterprise SIEM, where they are retained for six years to satisfy the HIPAA documentation retention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1500"/>
        <w:gridCol w:w="18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Source</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Captures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Retention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Reviewed By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Microsoft Purview audit log (Fabric activity)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Report views, semantic model queries, item creation, sharing, permission changes, exports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 years in SIEM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 monthly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Entra ID sign-in and PIM activation logs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Authentication, MFA, conditional access outcome, privileged role activation with justification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 years in SIEM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Officer, monthly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SQL endpoint query log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T-SQL queries against gold, including the text of queries touching the vault schema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 years in SIEM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 weekly for vault access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Pipeline run log (audit schema)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Row counts in and out, quarantine volumes, failures, and the identity that executed the run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 years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daily</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Two detective controls run on top of these logs. Any query against dim_patient_vault raises an alert to the Privacy Officer within fifteen minutes, because legitimate access to that table is rare and should be individually explainable. And a weekly anomaly report flags users whose volume of distinct patients viewed exceeds three standard deviations above their own trailing 90-day baseline, which is the pattern that identifies both curiosity browsing and compromised credentials.</w:t>
      </w:r>
    </w:p>
    <w:p>
      <w:pPr>
        <w:pStyle w:val="Heading3"/>
        <w:spacing w:after="100" w:before="200"/>
      </w:pPr>
      <w:r>
        <w:rPr>
          <w:rFonts w:ascii="Calibri" w:cs="Calibri" w:eastAsia="Calibri" w:hAnsi="Calibri"/>
          <w:b/>
          <w:bCs/>
          <w:color w:val="2F5496"/>
          <w:sz w:val="23"/>
          <w:szCs w:val="23"/>
        </w:rPr>
        <w:t xml:space="preserve">3.8.3 Breach notification procedure</w:t>
      </w:r>
    </w:p>
    <w:p>
      <w:pPr>
        <w:spacing w:after="140" w:line="276"/>
        <w:jc w:val="both"/>
      </w:pPr>
      <w:r>
        <w:rPr>
          <w:rFonts w:ascii="Calibri" w:cs="Calibri" w:eastAsia="Calibri" w:hAnsi="Calibri"/>
          <w:b w:val="false"/>
          <w:bCs w:val="false"/>
          <w:i w:val="false"/>
          <w:iCs w:val="false"/>
          <w:sz w:val="22"/>
          <w:szCs w:val="22"/>
        </w:rPr>
        <w:t xml:space="preserve">The platform does not create a separate breach process; it feeds the network existing HIPAA incident process, and this section defines the platform obligations within it.</w:t>
      </w:r>
    </w:p>
    <w:p>
      <w:pPr>
        <w:pStyle w:val="ListParagraph"/>
        <w:numPr>
          <w:ilvl w:val="0"/>
          <w:numId w:val="6"/>
        </w:numPr>
        <w:spacing w:after="110" w:line="276"/>
      </w:pPr>
      <w:r>
        <w:rPr>
          <w:rFonts w:ascii="Calibri" w:cs="Calibri" w:eastAsia="Calibri" w:hAnsi="Calibri"/>
          <w:b w:val="false"/>
          <w:bCs w:val="false"/>
          <w:i w:val="false"/>
          <w:iCs w:val="false"/>
          <w:sz w:val="22"/>
          <w:szCs w:val="22"/>
        </w:rPr>
        <w:t xml:space="preserve">Detection and containment (target: within 1 hour of detection). The on-call data engineer suspends the affected access — removing the group assignment, disabling the security policy, or pausing the workspace — and preserves the relevant logs by exporting the affected time window to immutable storage before any remediation changes the state.</w:t>
      </w:r>
    </w:p>
    <w:p>
      <w:pPr>
        <w:pStyle w:val="ListParagraph"/>
        <w:numPr>
          <w:ilvl w:val="0"/>
          <w:numId w:val="6"/>
        </w:numPr>
        <w:spacing w:after="110" w:line="276"/>
      </w:pPr>
      <w:r>
        <w:rPr>
          <w:rFonts w:ascii="Calibri" w:cs="Calibri" w:eastAsia="Calibri" w:hAnsi="Calibri"/>
          <w:b w:val="false"/>
          <w:bCs w:val="false"/>
          <w:i w:val="false"/>
          <w:iCs w:val="false"/>
          <w:sz w:val="22"/>
          <w:szCs w:val="22"/>
        </w:rPr>
        <w:t xml:space="preserve">Notification to the Privacy Officer (within 1 hour). Any suspected impermissible access or disclosure of PHI is reported immediately, without waiting for confirmation. Under-reporting a false alarm is cheap; late reporting is not.</w:t>
      </w:r>
    </w:p>
    <w:p>
      <w:pPr>
        <w:pStyle w:val="ListParagraph"/>
        <w:numPr>
          <w:ilvl w:val="0"/>
          <w:numId w:val="6"/>
        </w:numPr>
        <w:spacing w:after="110" w:line="276"/>
      </w:pPr>
      <w:r>
        <w:rPr>
          <w:rFonts w:ascii="Calibri" w:cs="Calibri" w:eastAsia="Calibri" w:hAnsi="Calibri"/>
          <w:b w:val="false"/>
          <w:bCs w:val="false"/>
          <w:i w:val="false"/>
          <w:iCs w:val="false"/>
          <w:sz w:val="22"/>
          <w:szCs w:val="22"/>
        </w:rPr>
        <w:t xml:space="preserve">Risk assessment (within 5 business days). The Privacy Officer conducts the four-factor assessment required by the Breach Notification Rule: nature and extent of the PHI involved, the unauthorized person who accessed it, whether PHI was actually acquired or viewed, and the extent to which risk has been mitigated. The platform supplies the evidence: the exact rows and columns returned by the queries in question, reconstructed from the query log and the state of the RLS scope table at that time.</w:t>
      </w:r>
    </w:p>
    <w:p>
      <w:pPr>
        <w:pStyle w:val="ListParagraph"/>
        <w:numPr>
          <w:ilvl w:val="0"/>
          <w:numId w:val="6"/>
        </w:numPr>
        <w:spacing w:after="110" w:line="276"/>
      </w:pPr>
      <w:r>
        <w:rPr>
          <w:rFonts w:ascii="Calibri" w:cs="Calibri" w:eastAsia="Calibri" w:hAnsi="Calibri"/>
          <w:b w:val="false"/>
          <w:bCs w:val="false"/>
          <w:i w:val="false"/>
          <w:iCs w:val="false"/>
          <w:sz w:val="22"/>
          <w:szCs w:val="22"/>
        </w:rPr>
        <w:t xml:space="preserve">Notification (as determined by assessment). If a breach is confirmed, affected individuals are notified without unreasonable delay and no later than sixty days from discovery; the Secretary of Health and Human Services is notified within sixty days for breaches affecting five hundred or more individuals, and through the annual log otherwise; media notification applies to breaches affecting more than five hundred residents of a state or jurisdiction.</w:t>
      </w:r>
    </w:p>
    <w:p>
      <w:pPr>
        <w:pStyle w:val="ListParagraph"/>
        <w:numPr>
          <w:ilvl w:val="0"/>
          <w:numId w:val="6"/>
        </w:numPr>
        <w:spacing w:after="110" w:line="276"/>
      </w:pPr>
      <w:r>
        <w:rPr>
          <w:rFonts w:ascii="Calibri" w:cs="Calibri" w:eastAsia="Calibri" w:hAnsi="Calibri"/>
          <w:b w:val="false"/>
          <w:bCs w:val="false"/>
          <w:i w:val="false"/>
          <w:iCs w:val="false"/>
          <w:sz w:val="22"/>
          <w:szCs w:val="22"/>
        </w:rPr>
        <w:t xml:space="preserve">Post-incident review (within 30 days). A root-cause review determines whether a control failed or was absent, and produces a tracked remediation item. Where the cause was a permission misconfiguration, the reconciliation audit in Section 3.7.2 is extended to detect that class of error.</w:t>
      </w:r>
    </w:p>
    <w:p>
      <w:pPr>
        <w:pStyle w:val="Heading3"/>
        <w:spacing w:after="100" w:before="200"/>
      </w:pPr>
      <w:r>
        <w:rPr>
          <w:rFonts w:ascii="Calibri" w:cs="Calibri" w:eastAsia="Calibri" w:hAnsi="Calibri"/>
          <w:b/>
          <w:bCs/>
          <w:color w:val="2F5496"/>
          <w:sz w:val="23"/>
          <w:szCs w:val="23"/>
        </w:rPr>
        <w:t xml:space="preserve">3.8.4 Data retention and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Data</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Retention</w:t>
            </w:r>
          </w:p>
        </w:tc>
        <w:tc>
          <w:tcPr>
            <w:tcW w:type="dxa" w:w="4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Disposal Method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Bronze raw clinical extracts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7 years, cool tier after 13 months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Automated Delta VACUUM and partition drop; deletion certificate logged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Silver conformed clinical 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7 years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Partition drop on schedule; verified against retention register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Gold facts and dimensions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7 years rolling</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Partition drop; aggregate history retained indefinitely as it is de-identified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PHI vault schema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7 years, reviewed annually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Partition drop with Privacy Officer sign-off</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Eventhouse real-time events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90 days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KQL retention policy, automatic</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Audit and access logs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 years (HIPAA documentation requirement)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Immutable SIEM storage; no early deletion permitted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Quarantine and rejected records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 years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Automatic purge after steward disposition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Development and test 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De-identified or synthetic only; refreshed quarterly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Workspace-level purge on refresh</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Note the constraint in the last row. Production PHI is never copied to development or test. Test uses a masked, referentially consistent dataset generated by an approved de-identification job, which preserves data volume and distribution for performance validation without carrying identifiers into an environment where eight engineers hold Contributor.</w:t>
      </w:r>
    </w:p>
    <w:p>
      <w:pPr>
        <w:pStyle w:val="Heading3"/>
        <w:spacing w:after="100" w:before="200"/>
      </w:pPr>
      <w:r>
        <w:rPr>
          <w:rFonts w:ascii="Calibri" w:cs="Calibri" w:eastAsia="Calibri" w:hAnsi="Calibri"/>
          <w:b/>
          <w:bCs/>
          <w:color w:val="2F5496"/>
          <w:sz w:val="23"/>
          <w:szCs w:val="23"/>
        </w:rPr>
        <w:t xml:space="preserve">3.8.5 Additional technical safeguards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Encryption: data at rest in OneLake is encrypted by the platform; the network additionally applies customer-managed keys where supported. Data in transit uses TLS 1.2 or higher on every connection, including the EHR extract.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Network isolation: capacity access is restricted to the corporate network and managed devices through conditional access policy; a private endpoint is used for the EHR source connection so extract traffic does not traverse the public internet.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Export controls: the tenant-level setting permitting export to Excel and CSV is disabled for the clinical workspaces, and Purview sensitivity labels with encryption are applied to the semantic model so that any file that is legitimately exported carries protection with it.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Sharing controls: publish-to-web is disabled tenant-wide; external guest sharing is blocked for the clinical workspaces; and reports may not be shared to distribution lists that are not backed by a recertified security group.</w:t>
      </w:r>
    </w:p>
    <w:p>
      <w:pPr>
        <w:pStyle w:val="Heading2"/>
        <w:spacing w:after="120" w:before="260"/>
      </w:pPr>
      <w:r>
        <w:rPr>
          <w:rFonts w:ascii="Calibri" w:cs="Calibri" w:eastAsia="Calibri" w:hAnsi="Calibri"/>
          <w:b/>
          <w:bCs/>
          <w:color w:val="2F5496"/>
          <w:sz w:val="26"/>
          <w:szCs w:val="26"/>
        </w:rPr>
        <w:t xml:space="preserve">3.9 Data Governance</w:t>
      </w:r>
    </w:p>
    <w:p>
      <w:pPr>
        <w:spacing w:after="140" w:line="276"/>
        <w:jc w:val="both"/>
      </w:pPr>
      <w:r>
        <w:rPr>
          <w:rFonts w:ascii="Calibri" w:cs="Calibri" w:eastAsia="Calibri" w:hAnsi="Calibri"/>
          <w:b w:val="false"/>
          <w:bCs w:val="false"/>
          <w:i w:val="false"/>
          <w:iCs w:val="false"/>
          <w:sz w:val="22"/>
          <w:szCs w:val="22"/>
        </w:rPr>
        <w:t xml:space="preserve">Governance roles are assigned by name before go-live. The Chief Medical Information Officer owns KPI definitions and adjudicates disputes about clinical meaning. A named data steward in clinical informatics owns terminology mappings and the quarantine queue. The Privacy Officer owns the PHI classification in Section 3.4 and approves any change to it. Data Engineering owns pipeline correctness and the operational log.</w:t>
      </w:r>
    </w:p>
    <w:p>
      <w:pPr>
        <w:spacing w:after="140" w:line="276"/>
        <w:jc w:val="both"/>
      </w:pPr>
      <w:r>
        <w:rPr>
          <w:rFonts w:ascii="Calibri" w:cs="Calibri" w:eastAsia="Calibri" w:hAnsi="Calibri"/>
          <w:b w:val="false"/>
          <w:bCs w:val="false"/>
          <w:i w:val="false"/>
          <w:iCs w:val="false"/>
          <w:sz w:val="22"/>
          <w:szCs w:val="22"/>
        </w:rPr>
        <w:t xml:space="preserve">The semantic model is published with the Certified endorsement so that it appears as the network-approved source in the Fabric data hub; uncertified models built by analysts in the sandbox workspace remain visibly distinct. Item lineage and impact analysis are reviewed before any breaking change to a gold table, and the change advisory process in Section 5.8 applies to any change that alters a published KPI definition.</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4. Capacity and Performance</w:t>
      </w:r>
    </w:p>
    <w:p>
      <w:pPr>
        <w:pStyle w:val="Heading2"/>
        <w:spacing w:after="120" w:before="260"/>
      </w:pPr>
      <w:r>
        <w:rPr>
          <w:rFonts w:ascii="Calibri" w:cs="Calibri" w:eastAsia="Calibri" w:hAnsi="Calibri"/>
          <w:b/>
          <w:bCs/>
          <w:color w:val="2F5496"/>
          <w:sz w:val="26"/>
          <w:szCs w:val="26"/>
        </w:rPr>
        <w:t xml:space="preserve">4.1 Workload Profile</w:t>
      </w:r>
    </w:p>
    <w:p>
      <w:pPr>
        <w:spacing w:after="140" w:line="276"/>
        <w:jc w:val="both"/>
      </w:pPr>
      <w:r>
        <w:rPr>
          <w:rFonts w:ascii="Calibri" w:cs="Calibri" w:eastAsia="Calibri" w:hAnsi="Calibri"/>
          <w:b w:val="false"/>
          <w:bCs w:val="false"/>
          <w:i w:val="false"/>
          <w:iCs w:val="false"/>
          <w:sz w:val="22"/>
          <w:szCs w:val="22"/>
        </w:rPr>
        <w:t xml:space="preserve">Capacity sizing begins with a quantified workload rather than a rule of thumb. The figures below are the planning basis; they should be re-measured after ninety days in production and the SKU revisited against actual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Dimension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Planning Estimate</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Basis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12</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Network scope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Encounters per day (all classes)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~9,000</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3.3M annual encounters across inpatient, observation, ED, and outpatient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Related detail rows per day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~185,000</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Diagnoses, procedures, ADT events, and orders at roughly 20 rows per encounter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Daily incremental volume (compressed)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1.0 – 1.5 GB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Delta Parquet after V-Order, including 48-hour lookback re-processing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Bronze at 7-year retention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~2.6 TB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Daily volume plus historical backload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Silver + gold steady state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~900 GB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Conformed and aggregated layers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Named report consumers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~830</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Executives, department heads, providers, analysts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Peak concurrent viewers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150 – 200</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Monday 07:00–09:00 across all sites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Typical concurrent viewers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25 – 45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Weekday business hours outside peak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Scheduled batch window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01:00 – 05:30</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load, must complete before 06:00 freshness SLA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Real-time event 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~52,000 ADT messages/day, peak ~120/min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Existing integration engine throughput</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4.2 SKU Recommendation</w:t>
      </w:r>
    </w:p>
    <w:p>
      <w:pPr>
        <w:spacing w:after="140" w:line="276"/>
        <w:jc w:val="both"/>
      </w:pPr>
      <w:r>
        <w:rPr>
          <w:rFonts w:ascii="Calibri" w:cs="Calibri" w:eastAsia="Calibri" w:hAnsi="Calibri"/>
          <w:b w:val="false"/>
          <w:bCs w:val="false"/>
          <w:i w:val="false"/>
          <w:iCs w:val="false"/>
          <w:sz w:val="22"/>
          <w:szCs w:val="22"/>
        </w:rPr>
        <w:t xml:space="preserve">Recommendation: F64 for production, F16 for test, F8 for development, with the production capacity purchased as a one-year reservation and burst headroom handled as described in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260"/>
        <w:gridCol w:w="15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SKU</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Capacity Units</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Assessment for This Workload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Decision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32 CU</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Sufficient for the nightly batch in isolation, but leaves little margin for the Monday morning interactive peak alongside the streaming workload. Critically, it sits below the free-viewer threshold, so every one of roughly 830 consumers would require an individual Power BI Pro license.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Rejected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F64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64 CU</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Comfortably absorbs the batch window, the 150–200 concurrent-viewer peak, and continuous Eventstream ingestion with headroom for growth. Meets the threshold at which report consumers do not require individual Pro licenses, which is decisive at this user count. Supports Direct Lake at the gold table sizes modelled 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Recommended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F128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128 CU</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Over-provisioned against the measured profile; roughly double the cost for headroom that scheduled scaling can supply for six hours a week instead of continuously.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Rejected as a base; used as a scheduled burst target</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00" w:before="200"/>
      </w:pPr>
      <w:r>
        <w:rPr>
          <w:rFonts w:ascii="Calibri" w:cs="Calibri" w:eastAsia="Calibri" w:hAnsi="Calibri"/>
          <w:b/>
          <w:bCs/>
          <w:color w:val="2F5496"/>
          <w:sz w:val="23"/>
          <w:szCs w:val="23"/>
        </w:rPr>
        <w:t xml:space="preserve">4.2.1 Rationale</w:t>
      </w:r>
    </w:p>
    <w:p>
      <w:pPr>
        <w:pStyle w:val="ListParagraph"/>
        <w:numPr>
          <w:ilvl w:val="0"/>
          <w:numId w:val="7"/>
        </w:numPr>
        <w:spacing w:after="110" w:line="276"/>
      </w:pPr>
      <w:r>
        <w:rPr>
          <w:rFonts w:ascii="Calibri" w:cs="Calibri" w:eastAsia="Calibri" w:hAnsi="Calibri"/>
          <w:b w:val="false"/>
          <w:bCs w:val="false"/>
          <w:i w:val="false"/>
          <w:iCs w:val="false"/>
          <w:sz w:val="22"/>
          <w:szCs w:val="22"/>
        </w:rPr>
        <w:t xml:space="preserve">Licensing economics dominate. Below the F64 threshold, every consumer needs a Power BI Pro license. At roughly 830 named consumers, the annual per-user cost exceeds the difference between F32 and F64 several times over. The correct comparison is not F32 capacity cost against F64 capacity cost, but F32 plus 830 Pro licenses against F64 alone — and F64 wins decisively.</w:t>
      </w:r>
    </w:p>
    <w:p>
      <w:pPr>
        <w:pStyle w:val="ListParagraph"/>
        <w:numPr>
          <w:ilvl w:val="0"/>
          <w:numId w:val="7"/>
        </w:numPr>
        <w:spacing w:after="110" w:line="276"/>
      </w:pPr>
      <w:r>
        <w:rPr>
          <w:rFonts w:ascii="Calibri" w:cs="Calibri" w:eastAsia="Calibri" w:hAnsi="Calibri"/>
          <w:b w:val="false"/>
          <w:bCs w:val="false"/>
          <w:i w:val="false"/>
          <w:iCs w:val="false"/>
          <w:sz w:val="22"/>
          <w:szCs w:val="22"/>
        </w:rPr>
        <w:t xml:space="preserve">The peak, not the average, sizes the capacity. Average daily utilization is projected at roughly fifteen to twenty percent of an F64. That number is not the constraint. Monday between 07:00 and 09:00, when every department reviews weekend activity simultaneously, is the constraint, and F32 would risk throttling exactly when the platform is most visible to clinical leadership.</w:t>
      </w:r>
    </w:p>
    <w:p>
      <w:pPr>
        <w:pStyle w:val="ListParagraph"/>
        <w:numPr>
          <w:ilvl w:val="0"/>
          <w:numId w:val="7"/>
        </w:numPr>
        <w:spacing w:after="110" w:line="276"/>
      </w:pPr>
      <w:r>
        <w:rPr>
          <w:rFonts w:ascii="Calibri" w:cs="Calibri" w:eastAsia="Calibri" w:hAnsi="Calibri"/>
          <w:b w:val="false"/>
          <w:bCs w:val="false"/>
          <w:i w:val="false"/>
          <w:iCs w:val="false"/>
          <w:sz w:val="22"/>
          <w:szCs w:val="22"/>
        </w:rPr>
        <w:t xml:space="preserve">Direct Lake requires memory headroom. Direct Lake loads column segments into capacity memory on demand. The gold model at roughly 900 GB across all layers, with an active working set well under that, fits F64 memory limits with margin; F32 would risk fallback to DirectQuery on wide queries, which would silently degrade the response times committed in Section 4.5.</w:t>
      </w:r>
    </w:p>
    <w:p>
      <w:pPr>
        <w:pStyle w:val="ListParagraph"/>
        <w:numPr>
          <w:ilvl w:val="0"/>
          <w:numId w:val="7"/>
        </w:numPr>
        <w:spacing w:after="110" w:line="276"/>
      </w:pPr>
      <w:r>
        <w:rPr>
          <w:rFonts w:ascii="Calibri" w:cs="Calibri" w:eastAsia="Calibri" w:hAnsi="Calibri"/>
          <w:b w:val="false"/>
          <w:bCs w:val="false"/>
          <w:i w:val="false"/>
          <w:iCs w:val="false"/>
          <w:sz w:val="22"/>
          <w:szCs w:val="22"/>
        </w:rPr>
        <w:t xml:space="preserve">The streaming workload runs continuously. Eventstream and Eventhouse consume capacity around the clock, unlike the batch and interactive workloads. That baseline consumption must be subtracted before assessing peak headroom, and it is what pushes a marginal F32 case over the line.</w:t>
      </w:r>
    </w:p>
    <w:p>
      <w:pPr>
        <w:pStyle w:val="ListParagraph"/>
        <w:numPr>
          <w:ilvl w:val="0"/>
          <w:numId w:val="7"/>
        </w:numPr>
        <w:spacing w:after="110" w:line="276"/>
      </w:pPr>
      <w:r>
        <w:rPr>
          <w:rFonts w:ascii="Calibri" w:cs="Calibri" w:eastAsia="Calibri" w:hAnsi="Calibri"/>
          <w:b w:val="false"/>
          <w:bCs w:val="false"/>
          <w:i w:val="false"/>
          <w:iCs w:val="false"/>
          <w:sz w:val="22"/>
          <w:szCs w:val="22"/>
        </w:rPr>
        <w:t xml:space="preserve">Non-production environments do not need production capacity. Development at F8 and test at F16 are sized for functional correctness and, in test, for a proportional performance signal. Both are paused outside working hours, which is discussed under cost management below.</w:t>
      </w:r>
    </w:p>
    <w:p>
      <w:pPr>
        <w:pStyle w:val="Heading3"/>
        <w:spacing w:after="100" w:before="200"/>
      </w:pPr>
      <w:r>
        <w:rPr>
          <w:rFonts w:ascii="Calibri" w:cs="Calibri" w:eastAsia="Calibri" w:hAnsi="Calibri"/>
          <w:b/>
          <w:bCs/>
          <w:color w:val="2F5496"/>
          <w:sz w:val="23"/>
          <w:szCs w:val="23"/>
        </w:rPr>
        <w:t xml:space="preserve">4.2.2 Indicative capacity unit budget (production, typical weekday)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Workload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Window</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Estimated CU-seconds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Share of F64 daily budget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Spark notebooks (silver + gold build)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01:00 – 04:30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~115,000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Copy Job and pipeline activities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01:00 – 02:00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~25,000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Semantic model framing and warm-up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05:00 – 05:30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~15,000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Interactive queries — peak two hours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07:00 – 09:00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~260,000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Interactive queries — remaining day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09:00 – 19:00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~180,000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Eventstream + Eventhouse (continuous)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 hours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~260,000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Real-time dashboard queries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 hours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~45,000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0.8%</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bCs/>
                <w:color w:val="000000"/>
                <w:sz w:val="18"/>
                <w:szCs w:val="18"/>
              </w:rPr>
              <w:t xml:space="preserve">Total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bCs/>
                <w:color w:val="000000"/>
                <w:sz w:val="18"/>
                <w:szCs w:val="18"/>
              </w:rPr>
              <w:t xml:space="preserve"/>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bCs/>
                <w:color w:val="000000"/>
                <w:sz w:val="18"/>
                <w:szCs w:val="18"/>
              </w:rPr>
              <w:t xml:space="preserve">~900,000 of 5,529,600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bCs/>
                <w:color w:val="000000"/>
                <w:sz w:val="18"/>
                <w:szCs w:val="18"/>
              </w:rPr>
              <w:t xml:space="preserve">~16%</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sixteen percent figure is a daily average and should not be read as spare capacity available for other workloads. Interactive demand is concentrated: the 260,000 CU-seconds in the peak two hours represent roughly thirty-six percent utilization during that window, and Monday runs materially higher than a typical weekday. The budget is presented so that the review board can see both the comfortable average and the reason the peak still governs the decision.</w:t>
      </w:r>
    </w:p>
    <w:p>
      <w:pPr>
        <w:pStyle w:val="Heading2"/>
        <w:spacing w:after="120" w:before="260"/>
      </w:pPr>
      <w:r>
        <w:rPr>
          <w:rFonts w:ascii="Calibri" w:cs="Calibri" w:eastAsia="Calibri" w:hAnsi="Calibri"/>
          <w:b/>
          <w:bCs/>
          <w:color w:val="2F5496"/>
          <w:sz w:val="26"/>
          <w:szCs w:val="26"/>
        </w:rPr>
        <w:t xml:space="preserve">4.3 Cost Management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Reserve the production F64 for one year, which reduces the rate materially against pay-as-you-go for a workload that runs continuously.</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Run development and test as pay-as-you-go and pause them automatically outside 07:00–19:00 on weekdays. A paused capacity accrues no compute charge, and the pause and resume are scripted through the Azure Resource Manager API as part of the same automation used for scheduled scaling.</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Budget OneLake storage separately from capacity. Storage is billed on volume, not on SKU, so retention policy is a cost lever independent of capacity sizing — moving bronze to cool tier after thirteen months is a meaningful saving at 2.6 TB.</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Charge back to hospital sites on report consumption metrics rather than splitting the capacity cost evenly, so that sites see the relationship between usage and cost.</w:t>
      </w:r>
    </w:p>
    <w:p>
      <w:pPr>
        <w:pStyle w:val="Heading2"/>
        <w:spacing w:after="120" w:before="260"/>
      </w:pPr>
      <w:r>
        <w:rPr>
          <w:rFonts w:ascii="Calibri" w:cs="Calibri" w:eastAsia="Calibri" w:hAnsi="Calibri"/>
          <w:b/>
          <w:bCs/>
          <w:color w:val="2F5496"/>
          <w:sz w:val="26"/>
          <w:szCs w:val="26"/>
        </w:rPr>
        <w:t xml:space="preserve">4.4 Autoscaling Strategy</w:t>
      </w:r>
    </w:p>
    <w:p>
      <w:pPr>
        <w:spacing w:after="140" w:line="276"/>
        <w:jc w:val="both"/>
      </w:pPr>
      <w:r>
        <w:rPr>
          <w:rFonts w:ascii="Calibri" w:cs="Calibri" w:eastAsia="Calibri" w:hAnsi="Calibri"/>
          <w:b w:val="false"/>
          <w:bCs w:val="false"/>
          <w:i w:val="false"/>
          <w:iCs w:val="false"/>
          <w:sz w:val="22"/>
          <w:szCs w:val="22"/>
        </w:rPr>
        <w:t xml:space="preserve">Fabric capacity does not scale continuously on demand in the way an application tier does. The strategy therefore combines four mechanisms — two built into the platform, two implemented by the network — to absorb the Monday peak without paying for F128 for one hundred and sixty-eight hours a week.</w:t>
      </w:r>
    </w:p>
    <w:p>
      <w:pPr>
        <w:pStyle w:val="Heading3"/>
        <w:spacing w:after="100" w:before="200"/>
      </w:pPr>
      <w:r>
        <w:rPr>
          <w:rFonts w:ascii="Calibri" w:cs="Calibri" w:eastAsia="Calibri" w:hAnsi="Calibri"/>
          <w:b/>
          <w:bCs/>
          <w:color w:val="2F5496"/>
          <w:sz w:val="23"/>
          <w:szCs w:val="23"/>
        </w:rPr>
        <w:t xml:space="preserve">4.4.1 Mechanism 1 — Platform smoothing and bursting (built in)</w:t>
      </w:r>
    </w:p>
    <w:p>
      <w:pPr>
        <w:spacing w:after="140" w:line="276"/>
        <w:jc w:val="both"/>
      </w:pPr>
      <w:r>
        <w:rPr>
          <w:rFonts w:ascii="Calibri" w:cs="Calibri" w:eastAsia="Calibri" w:hAnsi="Calibri"/>
          <w:b w:val="false"/>
          <w:bCs w:val="false"/>
          <w:i w:val="false"/>
          <w:iCs w:val="false"/>
          <w:sz w:val="22"/>
          <w:szCs w:val="22"/>
        </w:rPr>
        <w:t xml:space="preserve">Fabric smooths background operations across a twenty-four-hour window and interactive operations across a five-minute window, and allows short bursts above the purchased capacity level to be repaid from the smoothed budget. In practice this means the nightly Spark load does not need to fit inside 64 CU at any single instant; it needs to fit inside the daily budget. No configuration is required, but the behaviour must be understood, because it is why the batch window in Section 4.2.2 consumes so little of the headroom that matters.</w:t>
      </w:r>
    </w:p>
    <w:p>
      <w:pPr>
        <w:pStyle w:val="Heading3"/>
        <w:spacing w:after="100" w:before="200"/>
      </w:pPr>
      <w:r>
        <w:rPr>
          <w:rFonts w:ascii="Calibri" w:cs="Calibri" w:eastAsia="Calibri" w:hAnsi="Calibri"/>
          <w:b/>
          <w:bCs/>
          <w:color w:val="2F5496"/>
          <w:sz w:val="23"/>
          <w:szCs w:val="23"/>
        </w:rPr>
        <w:t xml:space="preserve">4.4.2 Mechanism 2 — Scheduled vertical scaling (implemented)</w:t>
      </w:r>
    </w:p>
    <w:p>
      <w:pPr>
        <w:spacing w:after="140" w:line="276"/>
        <w:jc w:val="both"/>
      </w:pPr>
      <w:r>
        <w:rPr>
          <w:rFonts w:ascii="Calibri" w:cs="Calibri" w:eastAsia="Calibri" w:hAnsi="Calibri"/>
          <w:b w:val="false"/>
          <w:bCs w:val="false"/>
          <w:i w:val="false"/>
          <w:iCs w:val="false"/>
          <w:sz w:val="22"/>
          <w:szCs w:val="22"/>
        </w:rPr>
        <w:t xml:space="preserve">An Azure Automation runbook, triggered on a schedule, calls the Fabric capacity management API to change the SKU. The scale operation is online and takes effect within a few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Schedule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Action</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Reason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Monday 05:30 → F128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Scale up</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Weekend review peak; the heaviest interactive load of the week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Monday 11:00 → F64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Scale down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Peak has passed; demand returns to typical weekday levels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Month-end close, 07:00 → F128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Scale up</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Board and service-line reporting cycle, three business days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Month-end close +3 days → F64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Scale down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Cycle complete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 / Test 19:00 → paused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Pause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 development activity overnight or at weekends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 / Test 07:00 weekdays → resumed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Resume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Working hours</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Scale-down is never automatic while a long-running job is in flight; the runbook checks for active Spark sessions and pipeline runs and defers by fifteen minutes, up to three attempts, before alerting rather than interrupting a load.</w:t>
      </w:r>
    </w:p>
    <w:p>
      <w:pPr>
        <w:pStyle w:val="Heading3"/>
        <w:spacing w:after="100" w:before="200"/>
      </w:pPr>
      <w:r>
        <w:rPr>
          <w:rFonts w:ascii="Calibri" w:cs="Calibri" w:eastAsia="Calibri" w:hAnsi="Calibri"/>
          <w:b/>
          <w:bCs/>
          <w:color w:val="2F5496"/>
          <w:sz w:val="23"/>
          <w:szCs w:val="23"/>
        </w:rPr>
        <w:t xml:space="preserve">4.4.3 Mechanism 3 — Reactive scaling on sustained pressure (implemented)</w:t>
      </w:r>
    </w:p>
    <w:p>
      <w:pPr>
        <w:spacing w:after="140" w:line="276"/>
        <w:jc w:val="both"/>
      </w:pPr>
      <w:r>
        <w:rPr>
          <w:rFonts w:ascii="Calibri" w:cs="Calibri" w:eastAsia="Calibri" w:hAnsi="Calibri"/>
          <w:b w:val="false"/>
          <w:bCs w:val="false"/>
          <w:i w:val="false"/>
          <w:iCs w:val="false"/>
          <w:sz w:val="22"/>
          <w:szCs w:val="22"/>
        </w:rPr>
        <w:t xml:space="preserve">The scheduled pattern handles known peaks. Unknown peaks — an unplanned surge, a poorly written report published by an analyst, a mass-casualty event driving unusual dashboard traffic — are handled reactively. An alert on sustained capacity utilization above eighty-five percent for fifteen minutes triggers the same runbook to scale to the next SKU and notify the on-call engineer, who then investigates the cause. Automatic scale-down follows two hours after utilization returns below sixty percent, subject to the same in-flight-job check.</w:t>
      </w:r>
    </w:p>
    <w:p>
      <w:pPr>
        <w:pStyle w:val="Heading3"/>
        <w:spacing w:after="100" w:before="200"/>
      </w:pPr>
      <w:r>
        <w:rPr>
          <w:rFonts w:ascii="Calibri" w:cs="Calibri" w:eastAsia="Calibri" w:hAnsi="Calibri"/>
          <w:b/>
          <w:bCs/>
          <w:color w:val="2F5496"/>
          <w:sz w:val="23"/>
          <w:szCs w:val="23"/>
        </w:rPr>
        <w:t xml:space="preserve">4.4.4 Mechanism 4 — Surge protection and workload isolation (configured)</w:t>
      </w:r>
    </w:p>
    <w:p>
      <w:pPr>
        <w:spacing w:after="140" w:line="276"/>
        <w:jc w:val="both"/>
      </w:pPr>
      <w:r>
        <w:rPr>
          <w:rFonts w:ascii="Calibri" w:cs="Calibri" w:eastAsia="Calibri" w:hAnsi="Calibri"/>
          <w:b w:val="false"/>
          <w:bCs w:val="false"/>
          <w:i w:val="false"/>
          <w:iCs w:val="false"/>
          <w:sz w:val="22"/>
          <w:szCs w:val="22"/>
        </w:rPr>
        <w:t xml:space="preserve">Surge protection is enabled on the production capacity so that background operations are rejected once background utilization crosses a defined threshold, protecting interactive users from being throttled by a runaway batch job. In addition, the sandbox workspace where analysts explore de-identified data is assigned to the development capacity rather than production, so exploratory work cannot consume capacity that clinical users depend on. This is a deliberate architectural choice: the cheapest form of autoscaling is preventing the load in the first place.</w:t>
      </w:r>
    </w:p>
    <w:p>
      <w:pPr>
        <w:pStyle w:val="Heading2"/>
        <w:spacing w:after="120" w:before="260"/>
      </w:pPr>
      <w:r>
        <w:rPr>
          <w:rFonts w:ascii="Calibri" w:cs="Calibri" w:eastAsia="Calibri" w:hAnsi="Calibri"/>
          <w:b/>
          <w:bCs/>
          <w:color w:val="2F5496"/>
          <w:sz w:val="26"/>
          <w:szCs w:val="26"/>
        </w:rPr>
        <w:t xml:space="preserve">4.5 Performance Targets</w:t>
      </w:r>
    </w:p>
    <w:p>
      <w:pPr>
        <w:spacing w:after="140" w:line="276"/>
        <w:jc w:val="both"/>
      </w:pPr>
      <w:r>
        <w:rPr>
          <w:rFonts w:ascii="Calibri" w:cs="Calibri" w:eastAsia="Calibri" w:hAnsi="Calibri"/>
          <w:b w:val="false"/>
          <w:bCs w:val="false"/>
          <w:i w:val="false"/>
          <w:iCs w:val="false"/>
          <w:sz w:val="22"/>
          <w:szCs w:val="22"/>
        </w:rPr>
        <w:t xml:space="preserve">These targets are service-level objectives, measured monthly and reported to the Director of Enterprise Data and Analytics. Breaching a target for two consecutive months triggers a formal performance review, not merely a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26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Metric</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Target</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Alert Threshold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Measured By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Report page load, initial render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p95 ≤ 5 seconds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8 seconds sustained 15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Metrics app, interactive operations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Visual interaction (slicer, cross-filter)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p95 ≤ 3 seconds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5 seconds sustained 15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Metrics app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Lake queries falling back to DirectQuery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occurrence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Semantic model query log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refresh duration (end to end)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 3.5 hours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4 hours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Pipeline run log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freshness — gold available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By 06:00 local, 7 days a week</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complete by 06:00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Activator freshness rule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Real-time census latency (event to dashboard)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 5 minutes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10 minutes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Eventhouse ingestion latency metric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Interactive capacity utilization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 70% sustained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85% for 15 min → scale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Metrics app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Background capacity utilization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 60% sustained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80% for 30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Metrics app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Throttling / delayed operations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0 minutes per month</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occurrence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Metrics app, throttling page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Platform availability (business hours)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99.9%</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Two consecutive failed health checks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Synthetic report query every 5 min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Silver quarantine rate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 0.5% of daily rows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 of daily rows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Pipeline run log</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00" w:before="200"/>
      </w:pPr>
      <w:r>
        <w:rPr>
          <w:rFonts w:ascii="Calibri" w:cs="Calibri" w:eastAsia="Calibri" w:hAnsi="Calibri"/>
          <w:b/>
          <w:bCs/>
          <w:color w:val="2F5496"/>
          <w:sz w:val="23"/>
          <w:szCs w:val="23"/>
        </w:rPr>
        <w:t xml:space="preserve">4.5.1 Engineering practices supporting these targets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V-Order and OPTIMIZE with compaction run after every gold load, so Direct Lake reads a small number of well-sized row groups. Small-file proliferation is the most common cause of Direct Lake performance decay.</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Gold facts are partitioned by discharge date and census date; date-filtered queries — which is nearly all of them — prune at the file level.</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The agg_kpi_dept_day table backs the highest-traffic report pages so that the executive summary page never scans the encounter fact.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Report design standards limit each page to eight visuals, prohibit table visuals over ten thousand rows, and require that default slicer state restrict to the trailing thirteen months.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Every report is profiled with Performance Analyzer before promotion to production, with results attached to the pull request; a page exceeding the p95 target is not promoted.</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5. DevOps and Deployment</w:t>
      </w:r>
    </w:p>
    <w:p>
      <w:pPr>
        <w:pStyle w:val="Heading2"/>
        <w:spacing w:after="120" w:before="260"/>
      </w:pPr>
      <w:r>
        <w:rPr>
          <w:rFonts w:ascii="Calibri" w:cs="Calibri" w:eastAsia="Calibri" w:hAnsi="Calibri"/>
          <w:b/>
          <w:bCs/>
          <w:color w:val="2F5496"/>
          <w:sz w:val="26"/>
          <w:szCs w:val="26"/>
        </w:rPr>
        <w:t xml:space="preserve">5.1 Environment Model</w:t>
      </w:r>
    </w:p>
    <w:p>
      <w:pPr>
        <w:spacing w:after="140" w:line="276"/>
        <w:jc w:val="both"/>
      </w:pPr>
      <w:r>
        <w:rPr>
          <w:rFonts w:ascii="Calibri" w:cs="Calibri" w:eastAsia="Calibri" w:hAnsi="Calibri"/>
          <w:b w:val="false"/>
          <w:bCs w:val="false"/>
          <w:i w:val="false"/>
          <w:iCs w:val="false"/>
          <w:sz w:val="22"/>
          <w:szCs w:val="22"/>
        </w:rPr>
        <w:t xml:space="preserve">Three environments, each a separate Fabric workspace on a separate capacity, with a strictly one-directional promotion path. Nothing reaches production except through this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900"/>
        <w:gridCol w:w="17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Environment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Workspace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Data</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Who Has Write Access</w:t>
            </w:r>
          </w:p>
        </w:tc>
        <w:tc>
          <w:tcPr>
            <w:tcW w:type="dxa" w:w="1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Purpose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Development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ws-clinical-dev</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Synthetic + de-identified sample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Engineers (Contributor)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Build and unit test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ws-clinical-test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Masked, production-scale volume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Deployment service principal only</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Integration, performance, security validation, stakeholder acceptance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Production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ws-clinical-prod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Live PHI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Deployment service principal only</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use</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5.2 Git Branching Strategy</w:t>
      </w:r>
    </w:p>
    <w:p>
      <w:pPr>
        <w:spacing w:after="140" w:line="276"/>
        <w:jc w:val="both"/>
      </w:pPr>
      <w:r>
        <w:rPr>
          <w:rFonts w:ascii="Calibri" w:cs="Calibri" w:eastAsia="Calibri" w:hAnsi="Calibri"/>
          <w:b w:val="false"/>
          <w:bCs w:val="false"/>
          <w:i w:val="false"/>
          <w:iCs w:val="false"/>
          <w:sz w:val="22"/>
          <w:szCs w:val="22"/>
        </w:rPr>
        <w:t xml:space="preserve">A feature-branch workflow on a single long-lived branch. The repository is hosted in Azure DevOps and connected to Fabric through native Git integration.</w:t>
      </w:r>
    </w:p>
    <w:p>
      <w:pPr>
        <w:keepLines/>
        <w:shd w:fill="F4F5F7" w:color="auto" w:val="clear"/>
        <w:spacing w:after="0" w:before="100" w:line="216"/>
        <w:ind w:left="120" w:right="120"/>
      </w:pPr>
      <w:r>
        <w:rPr>
          <w:rFonts w:ascii="Consolas" w:cs="Consolas" w:eastAsia="Consolas" w:hAnsi="Consolas"/>
          <w:sz w:val="15"/>
          <w:szCs w:val="15"/>
        </w:rPr>
        <w:t xml:space="preserve">main                    protected; always deployable; mirrors production</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 feature/DA-142-alos-by-service-line      new work, short-lived</w:t>
      </w:r>
    </w:p>
    <w:p>
      <w:pPr>
        <w:keepLines/>
        <w:shd w:fill="F4F5F7" w:color="auto" w:val="clear"/>
        <w:spacing w:after="0" w:before="0" w:line="216"/>
        <w:ind w:left="120" w:right="120"/>
      </w:pPr>
      <w:r>
        <w:rPr>
          <w:rFonts w:ascii="Consolas" w:cs="Consolas" w:eastAsia="Consolas" w:hAnsi="Consolas"/>
          <w:sz w:val="15"/>
          <w:szCs w:val="15"/>
        </w:rPr>
        <w:t xml:space="preserve">  +-- feature/DA-155-readmission-fact</w:t>
      </w:r>
    </w:p>
    <w:p>
      <w:pPr>
        <w:keepLines/>
        <w:shd w:fill="F4F5F7" w:color="auto" w:val="clear"/>
        <w:spacing w:after="0" w:before="0" w:line="216"/>
        <w:ind w:left="120" w:right="120"/>
      </w:pPr>
      <w:r>
        <w:rPr>
          <w:rFonts w:ascii="Consolas" w:cs="Consolas" w:eastAsia="Consolas" w:hAnsi="Consolas"/>
          <w:sz w:val="15"/>
          <w:szCs w:val="15"/>
        </w:rPr>
        <w:t xml:space="preserve">  +-- bugfix/DA-161-null-discharge-disposition</w:t>
      </w:r>
    </w:p>
    <w:p>
      <w:pPr>
        <w:keepLines/>
        <w:shd w:fill="F4F5F7" w:color="auto" w:val="clear"/>
        <w:spacing w:after="0" w:before="0" w:line="216"/>
        <w:ind w:left="120" w:right="120"/>
      </w:pPr>
      <w:r>
        <w:rPr>
          <w:rFonts w:ascii="Consolas" w:cs="Consolas" w:eastAsia="Consolas" w:hAnsi="Consolas"/>
          <w:sz w:val="15"/>
          <w:szCs w:val="15"/>
        </w:rPr>
        <w:t xml:space="preserve">  +-- hotfix/DA-170-rls-scope-expiry           branched from main,</w:t>
      </w:r>
    </w:p>
    <w:p>
      <w:pPr>
        <w:keepLines/>
        <w:shd w:fill="F4F5F7" w:color="auto" w:val="clear"/>
        <w:spacing w:after="0" w:before="0" w:line="216"/>
        <w:ind w:left="120" w:right="120"/>
      </w:pPr>
      <w:r>
        <w:rPr>
          <w:rFonts w:ascii="Consolas" w:cs="Consolas" w:eastAsia="Consolas" w:hAnsi="Consolas"/>
          <w:sz w:val="15"/>
          <w:szCs w:val="15"/>
        </w:rPr>
        <w:t xml:space="preserve">  |                                            merged back immediately</w:t>
      </w:r>
    </w:p>
    <w:p>
      <w:pPr>
        <w:keepLines/>
        <w:shd w:fill="F4F5F7" w:color="auto" w:val="clear"/>
        <w:spacing w:after="0" w:before="0" w:line="216"/>
        <w:ind w:left="120" w:right="120"/>
      </w:pPr>
      <w:r>
        <w:rPr>
          <w:rFonts w:ascii="Consolas" w:cs="Consolas" w:eastAsia="Consolas" w:hAnsi="Consolas"/>
          <w:sz w:val="15"/>
          <w:szCs w:val="15"/>
        </w:rPr>
        <w:t xml:space="preserve">  +-- release/2026.09                          optional, cut only when a</w:t>
      </w:r>
    </w:p>
    <w:p>
      <w:pPr>
        <w:keepLines/>
        <w:shd w:fill="F4F5F7" w:color="auto" w:val="clear"/>
        <w:spacing w:after="0" w:before="0" w:line="216"/>
        <w:ind w:left="120" w:right="120"/>
      </w:pPr>
      <w:r>
        <w:rPr>
          <w:rFonts w:ascii="Consolas" w:cs="Consolas" w:eastAsia="Consolas" w:hAnsi="Consolas"/>
          <w:sz w:val="15"/>
          <w:szCs w:val="15"/>
        </w:rPr>
        <w:t xml:space="preserve">                                               release must be stabilized</w:t>
      </w:r>
    </w:p>
    <w:p>
      <w:pPr>
        <w:keepLines/>
        <w:shd w:fill="F4F5F7" w:color="auto" w:val="clear"/>
        <w:spacing w:after="180" w:before="0" w:line="216"/>
        <w:ind w:left="120" w:right="120"/>
      </w:pPr>
      <w:r>
        <w:rPr>
          <w:rFonts w:ascii="Consolas" w:cs="Consolas" w:eastAsia="Consolas" w:hAnsi="Consolas"/>
          <w:sz w:val="15"/>
          <w:szCs w:val="15"/>
        </w:rPr>
        <w:t xml:space="preserve">                                               while main moves ahead</w:t>
      </w:r>
    </w:p>
    <w:p>
      <w:pPr>
        <w:pStyle w:val="Heading3"/>
        <w:spacing w:after="100" w:before="200"/>
      </w:pPr>
      <w:r>
        <w:rPr>
          <w:rFonts w:ascii="Calibri" w:cs="Calibri" w:eastAsia="Calibri" w:hAnsi="Calibri"/>
          <w:b/>
          <w:bCs/>
          <w:color w:val="2F5496"/>
          <w:sz w:val="23"/>
          <w:szCs w:val="23"/>
        </w:rPr>
        <w:t xml:space="preserve">5.2.1 Rules</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Branch naming is enforced: feature/, bugfix/, hotfix/, or release/ followed by the work item identifier and a short description. The work item link is what ties a production change back to a clinical requirement during audit.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Feature branches are short-lived — three working days is the target, five the limit — because long-lived branches on a shared semantic model produce merge conflicts in model metadata that are painful to resolve.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Each engineer works in a personal Fabric workspace connected to their own feature branch, so that in-progress work never destabilizes the shared development workspace.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main is protected: no direct commits, no force push, linear history required.</w:t>
      </w:r>
    </w:p>
    <w:p>
      <w:pPr>
        <w:pStyle w:val="Heading3"/>
        <w:spacing w:after="100" w:before="200"/>
      </w:pPr>
      <w:r>
        <w:rPr>
          <w:rFonts w:ascii="Calibri" w:cs="Calibri" w:eastAsia="Calibri" w:hAnsi="Calibri"/>
          <w:b/>
          <w:bCs/>
          <w:color w:val="2F5496"/>
          <w:sz w:val="23"/>
          <w:szCs w:val="23"/>
        </w:rPr>
        <w:t xml:space="preserve">5.2.2 Pull request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Policy</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Setting</w:t>
            </w:r>
          </w:p>
        </w:tc>
        <w:tc>
          <w:tcPr>
            <w:tcW w:type="dxa" w:w="4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Reason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Minimum reviewers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 peer engineer plus one domain reviewer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Required reviewer — semantic model changes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engineering lead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Protects certified KPI definitions from drift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Required reviewer — anything touching gold.dim_patient_vault, sec_user_scope, or the sec schema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 delegate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 change to PHI handling or entitlement logic is a compliance change, not just a code change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Linked work item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Required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Traceability from production behaviour to approved requirement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Build validation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Required, must pass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Static analysis and model best-practice rules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Comment resolution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comments resolved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Prevents merge with open objections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Self-approval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Prohibited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Separation of duties</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5.3 Fabric Git Integration</w:t>
      </w:r>
    </w:p>
    <w:p>
      <w:pPr>
        <w:spacing w:after="140" w:line="276"/>
        <w:jc w:val="both"/>
      </w:pPr>
      <w:r>
        <w:rPr>
          <w:rFonts w:ascii="Calibri" w:cs="Calibri" w:eastAsia="Calibri" w:hAnsi="Calibri"/>
          <w:b w:val="false"/>
          <w:bCs w:val="false"/>
          <w:i w:val="false"/>
          <w:iCs w:val="false"/>
          <w:sz w:val="22"/>
          <w:szCs w:val="22"/>
        </w:rPr>
        <w:t xml:space="preserve">The development workspace is connected to main. Engineers sync their personal workspaces to their feature branches, commit item definitions — notebooks as .py or .ipynb, pipelines as JSON, semantic models as TMDL, reports as .pbir project folders — and open a pull request. The .pbir and TMDL formats matter here: they store report and model definitions as readable, diffable text rather than as opaque binary .pbix files, which is what makes meaningful code review of a semantic model change possible at all.</w:t>
      </w:r>
    </w:p>
    <w:p>
      <w:pPr>
        <w:spacing w:after="140" w:line="276"/>
        <w:jc w:val="both"/>
      </w:pPr>
      <w:r>
        <w:rPr>
          <w:rFonts w:ascii="Calibri" w:cs="Calibri" w:eastAsia="Calibri" w:hAnsi="Calibri"/>
          <w:b w:val="false"/>
          <w:bCs w:val="false"/>
          <w:i w:val="false"/>
          <w:iCs w:val="false"/>
          <w:sz w:val="22"/>
          <w:szCs w:val="22"/>
        </w:rPr>
        <w:t xml:space="preserve">Lakehouse table data is not source-controlled. Only the definitions — schemas, notebooks, pipeline logic, security policy scripts — are versioned. The T-SQL security scripts in Section 3.7 are held in the repository under /sql/security/ and applied by the release pipeline, so that permissions are code and are reviewed as code.</w:t>
      </w:r>
    </w:p>
    <w:p>
      <w:pPr>
        <w:pStyle w:val="Heading2"/>
        <w:spacing w:after="120" w:before="260"/>
      </w:pPr>
      <w:r>
        <w:rPr>
          <w:rFonts w:ascii="Calibri" w:cs="Calibri" w:eastAsia="Calibri" w:hAnsi="Calibri"/>
          <w:b/>
          <w:bCs/>
          <w:color w:val="2F5496"/>
          <w:sz w:val="26"/>
          <w:szCs w:val="26"/>
        </w:rPr>
        <w:t xml:space="preserve">5.4 Deployment Pipeline Design</w:t>
      </w:r>
    </w:p>
    <w:p>
      <w:pPr>
        <w:spacing w:after="140" w:line="276"/>
        <w:jc w:val="both"/>
      </w:pPr>
      <w:r>
        <w:rPr>
          <w:rFonts w:ascii="Calibri" w:cs="Calibri" w:eastAsia="Calibri" w:hAnsi="Calibri"/>
          <w:b w:val="false"/>
          <w:bCs w:val="false"/>
          <w:i w:val="false"/>
          <w:iCs w:val="false"/>
          <w:sz w:val="22"/>
          <w:szCs w:val="22"/>
        </w:rPr>
        <w:t xml:space="preserve">A Fabric deployment pipeline with three stages moves content between workspaces. Item identifiers are preserved across stages, so a report deployed to test retains its binding to the test semantic model rather than pointing back to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860"/>
        <w:gridCol w:w="21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Stage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Source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Trigger</w:t>
            </w:r>
          </w:p>
        </w:tc>
        <w:tc>
          <w:tcPr>
            <w:tcW w:type="dxa" w:w="1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Approval</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Gate Before Promotion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Development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main branch sync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Automatic on merge to main</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Build validation passed</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 stage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Automatic after Dev deploy succeeds</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None (automated)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Automated test suite: data quality, RLS/OLS assertions, performance profile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Production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 stage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Manual release, scheduled window</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 + Privacy Officer for PHI-affecting changes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Stakeholder acceptance sign-off, change record approved</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Production deployments occur in a defined window — Tuesday and Thursday, 20:00 to 22:00 local — outside the nightly load and away from the Monday peak. Emergency changes bypass the window only under the hotfix path in Section 5.8.</w:t>
      </w:r>
    </w:p>
    <w:p>
      <w:pPr>
        <w:pStyle w:val="Heading2"/>
        <w:spacing w:after="120" w:before="260"/>
      </w:pPr>
      <w:r>
        <w:rPr>
          <w:rFonts w:ascii="Calibri" w:cs="Calibri" w:eastAsia="Calibri" w:hAnsi="Calibri"/>
          <w:b/>
          <w:bCs/>
          <w:color w:val="2F5496"/>
          <w:sz w:val="26"/>
          <w:szCs w:val="26"/>
        </w:rPr>
        <w:t xml:space="preserve">5.5 Deployment Rules for Environment Differences</w:t>
      </w:r>
    </w:p>
    <w:p>
      <w:pPr>
        <w:spacing w:after="140" w:line="276"/>
        <w:jc w:val="both"/>
      </w:pPr>
      <w:r>
        <w:rPr>
          <w:rFonts w:ascii="Calibri" w:cs="Calibri" w:eastAsia="Calibri" w:hAnsi="Calibri"/>
          <w:b w:val="false"/>
          <w:bCs w:val="false"/>
          <w:i w:val="false"/>
          <w:iCs w:val="false"/>
          <w:sz w:val="22"/>
          <w:szCs w:val="22"/>
        </w:rPr>
        <w:t xml:space="preserve">The same artifact is promoted unchanged through all three stages; only the bindings differ. Those differences are expressed as deployment rules on the pipeline and as pipeline parameters, never as edited copies of items — an edited copy in production is an untracked divergence and defeats the entire promotion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1700"/>
        <w:gridCol w:w="17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Item</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Setting</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Development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Test</w:t>
            </w:r>
          </w:p>
        </w:tc>
        <w:tc>
          <w:tcPr>
            <w:tcW w:type="dxa" w:w="1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Production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cj_ehr_encounters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 connection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ehr-dev.internal (synthetic)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ehr-tst.internal (masked)</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ehr-prd.internal (live)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pl_ehr_daily_load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Parameter: env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tst</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pl_ehr_daily_load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Parameter: lookback_hours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48</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48</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pl_ehr_daily_load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Parameter: hospital_list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 sites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12</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12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pl_ehr_daily_load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Schedule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Manual only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22:00</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01:00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sm_clinical_ops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Lakehouse binding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lh_gold (dev)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lh_gold (test)</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lh_gold (prod)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sm_clinical_ops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 role membership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 principals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 principals</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Live Entra groups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rpt_* (all reports)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Semantic model binding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Dev model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 model</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Prod model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es_adt_stream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Source endpoint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Message simulator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Integration engine (test queue)</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Integration engine (live)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act_ops_alerts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Notification target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Engineer inbox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Engineer inbox</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House supervisor Teams channel + on-call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All items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Sensitivity label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Internal</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Confidential — PHI</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alert-routing rule in the second-to-last row is easy to overlook and expensive to get wrong: without it, a test deployment pages the house supervisors at every hospital in the network.</w:t>
      </w:r>
    </w:p>
    <w:p>
      <w:pPr>
        <w:pStyle w:val="Heading2"/>
        <w:spacing w:after="120" w:before="260"/>
      </w:pPr>
      <w:r>
        <w:rPr>
          <w:rFonts w:ascii="Calibri" w:cs="Calibri" w:eastAsia="Calibri" w:hAnsi="Calibri"/>
          <w:b/>
          <w:bCs/>
          <w:color w:val="2F5496"/>
          <w:sz w:val="26"/>
          <w:szCs w:val="26"/>
        </w:rPr>
        <w:t xml:space="preserve">5.6 CI/CD Trigger Configuration</w:t>
      </w:r>
    </w:p>
    <w:p>
      <w:pPr>
        <w:spacing w:after="140" w:line="276"/>
        <w:jc w:val="both"/>
      </w:pPr>
      <w:r>
        <w:rPr>
          <w:rFonts w:ascii="Calibri" w:cs="Calibri" w:eastAsia="Calibri" w:hAnsi="Calibri"/>
          <w:b w:val="false"/>
          <w:bCs w:val="false"/>
          <w:i w:val="false"/>
          <w:iCs w:val="false"/>
          <w:sz w:val="22"/>
          <w:szCs w:val="22"/>
        </w:rPr>
        <w:t xml:space="preserve">Two Azure DevOps pipelines. A build pipeline runs on every pull request against main and blocks the merge on failure. A release pipeline runs on completion of that pull request — that is, on merge — and drives the Fabric deployment pipeline through the REST API using the deployment service principal.</w:t>
      </w:r>
    </w:p>
    <w:p>
      <w:pPr>
        <w:keepLines/>
        <w:shd w:fill="F4F5F7" w:color="auto" w:val="clear"/>
        <w:spacing w:after="0" w:before="100" w:line="216"/>
        <w:ind w:left="120" w:right="120"/>
      </w:pPr>
      <w:r>
        <w:rPr>
          <w:rFonts w:ascii="Consolas" w:cs="Consolas" w:eastAsia="Consolas" w:hAnsi="Consolas"/>
          <w:sz w:val="15"/>
          <w:szCs w:val="15"/>
        </w:rPr>
        <w:t xml:space="preserve"># azure-pipelines-build.yml  (pull request validation)</w:t>
      </w:r>
    </w:p>
    <w:p>
      <w:pPr>
        <w:keepLines/>
        <w:shd w:fill="F4F5F7" w:color="auto" w:val="clear"/>
        <w:spacing w:after="0" w:before="0" w:line="216"/>
        <w:ind w:left="120" w:right="120"/>
      </w:pPr>
      <w:r>
        <w:rPr>
          <w:rFonts w:ascii="Consolas" w:cs="Consolas" w:eastAsia="Consolas" w:hAnsi="Consolas"/>
          <w:sz w:val="15"/>
          <w:szCs w:val="15"/>
        </w:rPr>
        <w:t xml:space="preserve">pr:</w:t>
      </w:r>
    </w:p>
    <w:p>
      <w:pPr>
        <w:keepLines/>
        <w:shd w:fill="F4F5F7" w:color="auto" w:val="clear"/>
        <w:spacing w:after="0" w:before="0" w:line="216"/>
        <w:ind w:left="120" w:right="120"/>
      </w:pPr>
      <w:r>
        <w:rPr>
          <w:rFonts w:ascii="Consolas" w:cs="Consolas" w:eastAsia="Consolas" w:hAnsi="Consolas"/>
          <w:sz w:val="15"/>
          <w:szCs w:val="15"/>
        </w:rPr>
        <w:t xml:space="preserve">  branches:</w:t>
      </w:r>
    </w:p>
    <w:p>
      <w:pPr>
        <w:keepLines/>
        <w:shd w:fill="F4F5F7" w:color="auto" w:val="clear"/>
        <w:spacing w:after="0" w:before="0" w:line="216"/>
        <w:ind w:left="120" w:right="120"/>
      </w:pPr>
      <w:r>
        <w:rPr>
          <w:rFonts w:ascii="Consolas" w:cs="Consolas" w:eastAsia="Consolas" w:hAnsi="Consolas"/>
          <w:sz w:val="15"/>
          <w:szCs w:val="15"/>
        </w:rPr>
        <w:t xml:space="preserve">    include: [ main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stages:</w:t>
      </w:r>
    </w:p>
    <w:p>
      <w:pPr>
        <w:keepLines/>
        <w:shd w:fill="F4F5F7" w:color="auto" w:val="clear"/>
        <w:spacing w:after="0" w:before="0" w:line="216"/>
        <w:ind w:left="120" w:right="120"/>
      </w:pPr>
      <w:r>
        <w:rPr>
          <w:rFonts w:ascii="Consolas" w:cs="Consolas" w:eastAsia="Consolas" w:hAnsi="Consolas"/>
          <w:sz w:val="15"/>
          <w:szCs w:val="15"/>
        </w:rPr>
        <w:t xml:space="preserve">- stage: Validate</w:t>
      </w:r>
    </w:p>
    <w:p>
      <w:pPr>
        <w:keepLines/>
        <w:shd w:fill="F4F5F7" w:color="auto" w:val="clear"/>
        <w:spacing w:after="0" w:before="0" w:line="216"/>
        <w:ind w:left="120" w:right="120"/>
      </w:pPr>
      <w:r>
        <w:rPr>
          <w:rFonts w:ascii="Consolas" w:cs="Consolas" w:eastAsia="Consolas" w:hAnsi="Consolas"/>
          <w:sz w:val="15"/>
          <w:szCs w:val="15"/>
        </w:rPr>
        <w:t xml:space="preserve">  jobs:</w:t>
      </w:r>
    </w:p>
    <w:p>
      <w:pPr>
        <w:keepLines/>
        <w:shd w:fill="F4F5F7" w:color="auto" w:val="clear"/>
        <w:spacing w:after="0" w:before="0" w:line="216"/>
        <w:ind w:left="120" w:right="120"/>
      </w:pPr>
      <w:r>
        <w:rPr>
          <w:rFonts w:ascii="Consolas" w:cs="Consolas" w:eastAsia="Consolas" w:hAnsi="Consolas"/>
          <w:sz w:val="15"/>
          <w:szCs w:val="15"/>
        </w:rPr>
        <w:t xml:space="preserve">  - job: StaticChecks</w:t>
      </w:r>
    </w:p>
    <w:p>
      <w:pPr>
        <w:keepLines/>
        <w:shd w:fill="F4F5F7" w:color="auto" w:val="clear"/>
        <w:spacing w:after="0" w:before="0" w:line="216"/>
        <w:ind w:left="120" w:right="120"/>
      </w:pPr>
      <w:r>
        <w:rPr>
          <w:rFonts w:ascii="Consolas" w:cs="Consolas" w:eastAsia="Consolas" w:hAnsi="Consolas"/>
          <w:sz w:val="15"/>
          <w:szCs w:val="15"/>
        </w:rPr>
        <w:t xml:space="preserve">    steps:</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Semantic model: best practice rules and definition validation</w:t>
      </w:r>
    </w:p>
    <w:p>
      <w:pPr>
        <w:keepLines/>
        <w:shd w:fill="F4F5F7" w:color="auto" w:val="clear"/>
        <w:spacing w:after="0" w:before="0" w:line="216"/>
        <w:ind w:left="120" w:right="120"/>
      </w:pPr>
      <w:r>
        <w:rPr>
          <w:rFonts w:ascii="Consolas" w:cs="Consolas" w:eastAsia="Consolas" w:hAnsi="Consolas"/>
          <w:sz w:val="15"/>
          <w:szCs w:val="15"/>
        </w:rPr>
        <w:t xml:space="preserve">        TabularEditor.exe ./model/sm_clinical_ops.tmdl \</w:t>
      </w:r>
    </w:p>
    <w:p>
      <w:pPr>
        <w:keepLines/>
        <w:shd w:fill="F4F5F7" w:color="auto" w:val="clear"/>
        <w:spacing w:after="0" w:before="0" w:line="216"/>
        <w:ind w:left="120" w:right="120"/>
      </w:pPr>
      <w:r>
        <w:rPr>
          <w:rFonts w:ascii="Consolas" w:cs="Consolas" w:eastAsia="Consolas" w:hAnsi="Consolas"/>
          <w:sz w:val="15"/>
          <w:szCs w:val="15"/>
        </w:rPr>
        <w:t xml:space="preserve">          -A ./rules/BPARules-clinical.json -V</w:t>
      </w:r>
    </w:p>
    <w:p>
      <w:pPr>
        <w:keepLines/>
        <w:shd w:fill="F4F5F7" w:color="auto" w:val="clear"/>
        <w:spacing w:after="0" w:before="0" w:line="216"/>
        <w:ind w:left="120" w:right="120"/>
      </w:pPr>
      <w:r>
        <w:rPr>
          <w:rFonts w:ascii="Consolas" w:cs="Consolas" w:eastAsia="Consolas" w:hAnsi="Consolas"/>
          <w:sz w:val="15"/>
          <w:szCs w:val="15"/>
        </w:rPr>
        <w:t xml:space="preserve">      displayName: Semantic model best practice analyzer</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Report definitions: .pbir schema validation and theme compliance</w:t>
      </w:r>
    </w:p>
    <w:p>
      <w:pPr>
        <w:keepLines/>
        <w:shd w:fill="F4F5F7" w:color="auto" w:val="clear"/>
        <w:spacing w:after="0" w:before="0" w:line="216"/>
        <w:ind w:left="120" w:right="120"/>
      </w:pPr>
      <w:r>
        <w:rPr>
          <w:rFonts w:ascii="Consolas" w:cs="Consolas" w:eastAsia="Consolas" w:hAnsi="Consolas"/>
          <w:sz w:val="15"/>
          <w:szCs w:val="15"/>
        </w:rPr>
        <w:t xml:space="preserve">        python ./ci/validate_pbir.py ./reports/</w:t>
      </w:r>
    </w:p>
    <w:p>
      <w:pPr>
        <w:keepLines/>
        <w:shd w:fill="F4F5F7" w:color="auto" w:val="clear"/>
        <w:spacing w:after="0" w:before="0" w:line="216"/>
        <w:ind w:left="120" w:right="120"/>
      </w:pPr>
      <w:r>
        <w:rPr>
          <w:rFonts w:ascii="Consolas" w:cs="Consolas" w:eastAsia="Consolas" w:hAnsi="Consolas"/>
          <w:sz w:val="15"/>
          <w:szCs w:val="15"/>
        </w:rPr>
        <w:t xml:space="preserve">      displayName: Validate .pbir report definitions</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Notebooks: lint and unit tests for transformation logic</w:t>
      </w:r>
    </w:p>
    <w:p>
      <w:pPr>
        <w:keepLines/>
        <w:shd w:fill="F4F5F7" w:color="auto" w:val="clear"/>
        <w:spacing w:after="0" w:before="0" w:line="216"/>
        <w:ind w:left="120" w:right="120"/>
      </w:pPr>
      <w:r>
        <w:rPr>
          <w:rFonts w:ascii="Consolas" w:cs="Consolas" w:eastAsia="Consolas" w:hAnsi="Consolas"/>
          <w:sz w:val="15"/>
          <w:szCs w:val="15"/>
        </w:rPr>
        <w:t xml:space="preserve">        pytest ./tests/unit -q</w:t>
      </w:r>
    </w:p>
    <w:p>
      <w:pPr>
        <w:keepLines/>
        <w:shd w:fill="F4F5F7" w:color="auto" w:val="clear"/>
        <w:spacing w:after="0" w:before="0" w:line="216"/>
        <w:ind w:left="120" w:right="120"/>
      </w:pPr>
      <w:r>
        <w:rPr>
          <w:rFonts w:ascii="Consolas" w:cs="Consolas" w:eastAsia="Consolas" w:hAnsi="Consolas"/>
          <w:sz w:val="15"/>
          <w:szCs w:val="15"/>
        </w:rPr>
        <w:t xml:space="preserve">      displayName: Notebook unit tests</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Security: fail the build if a PHI column appears outside the</w:t>
      </w:r>
    </w:p>
    <w:p>
      <w:pPr>
        <w:keepLines/>
        <w:shd w:fill="F4F5F7" w:color="auto" w:val="clear"/>
        <w:spacing w:after="0" w:before="0" w:line="216"/>
        <w:ind w:left="120" w:right="120"/>
      </w:pPr>
      <w:r>
        <w:rPr>
          <w:rFonts w:ascii="Consolas" w:cs="Consolas" w:eastAsia="Consolas" w:hAnsi="Consolas"/>
          <w:sz w:val="15"/>
          <w:szCs w:val="15"/>
        </w:rPr>
        <w:t xml:space="preserve">        # vault schema or an RLS role is missing a filter expression</w:t>
      </w:r>
    </w:p>
    <w:p>
      <w:pPr>
        <w:keepLines/>
        <w:shd w:fill="F4F5F7" w:color="auto" w:val="clear"/>
        <w:spacing w:after="0" w:before="0" w:line="216"/>
        <w:ind w:left="120" w:right="120"/>
      </w:pPr>
      <w:r>
        <w:rPr>
          <w:rFonts w:ascii="Consolas" w:cs="Consolas" w:eastAsia="Consolas" w:hAnsi="Consolas"/>
          <w:sz w:val="15"/>
          <w:szCs w:val="15"/>
        </w:rPr>
        <w:t xml:space="preserve">        python ./ci/check_phi_exposure.py --model ./model/ \</w:t>
      </w:r>
    </w:p>
    <w:p>
      <w:pPr>
        <w:keepLines/>
        <w:shd w:fill="F4F5F7" w:color="auto" w:val="clear"/>
        <w:spacing w:after="0" w:before="0" w:line="216"/>
        <w:ind w:left="120" w:right="120"/>
      </w:pPr>
      <w:r>
        <w:rPr>
          <w:rFonts w:ascii="Consolas" w:cs="Consolas" w:eastAsia="Consolas" w:hAnsi="Consolas"/>
          <w:sz w:val="15"/>
          <w:szCs w:val="15"/>
        </w:rPr>
        <w:t xml:space="preserve">                                          --classification ./governance/phi_columns.yml</w:t>
      </w:r>
    </w:p>
    <w:p>
      <w:pPr>
        <w:keepLines/>
        <w:shd w:fill="F4F5F7" w:color="auto" w:val="clear"/>
        <w:spacing w:after="0" w:before="0" w:line="216"/>
        <w:ind w:left="120" w:right="120"/>
      </w:pPr>
      <w:r>
        <w:rPr>
          <w:rFonts w:ascii="Consolas" w:cs="Consolas" w:eastAsia="Consolas" w:hAnsi="Consolas"/>
          <w:sz w:val="15"/>
          <w:szCs w:val="15"/>
        </w:rPr>
        <w:t xml:space="preserve">      displayName: PHI exposure check</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azure-pipelines-release.yml  (runs on PR completion / merge to main)</w:t>
      </w:r>
    </w:p>
    <w:p>
      <w:pPr>
        <w:keepLines/>
        <w:shd w:fill="F4F5F7" w:color="auto" w:val="clear"/>
        <w:spacing w:after="0" w:before="0" w:line="216"/>
        <w:ind w:left="120" w:right="120"/>
      </w:pPr>
      <w:r>
        <w:rPr>
          <w:rFonts w:ascii="Consolas" w:cs="Consolas" w:eastAsia="Consolas" w:hAnsi="Consolas"/>
          <w:sz w:val="15"/>
          <w:szCs w:val="15"/>
        </w:rPr>
        <w:t xml:space="preserve">trigger:</w:t>
      </w:r>
    </w:p>
    <w:p>
      <w:pPr>
        <w:keepLines/>
        <w:shd w:fill="F4F5F7" w:color="auto" w:val="clear"/>
        <w:spacing w:after="0" w:before="0" w:line="216"/>
        <w:ind w:left="120" w:right="120"/>
      </w:pPr>
      <w:r>
        <w:rPr>
          <w:rFonts w:ascii="Consolas" w:cs="Consolas" w:eastAsia="Consolas" w:hAnsi="Consolas"/>
          <w:sz w:val="15"/>
          <w:szCs w:val="15"/>
        </w:rPr>
        <w:t xml:space="preserve">  branches:</w:t>
      </w:r>
    </w:p>
    <w:p>
      <w:pPr>
        <w:keepLines/>
        <w:shd w:fill="F4F5F7" w:color="auto" w:val="clear"/>
        <w:spacing w:after="0" w:before="0" w:line="216"/>
        <w:ind w:left="120" w:right="120"/>
      </w:pPr>
      <w:r>
        <w:rPr>
          <w:rFonts w:ascii="Consolas" w:cs="Consolas" w:eastAsia="Consolas" w:hAnsi="Consolas"/>
          <w:sz w:val="15"/>
          <w:szCs w:val="15"/>
        </w:rPr>
        <w:t xml:space="preserve">    include: [ main ]</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stages:</w:t>
      </w:r>
    </w:p>
    <w:p>
      <w:pPr>
        <w:keepLines/>
        <w:shd w:fill="F4F5F7" w:color="auto" w:val="clear"/>
        <w:spacing w:after="0" w:before="0" w:line="216"/>
        <w:ind w:left="120" w:right="120"/>
      </w:pPr>
      <w:r>
        <w:rPr>
          <w:rFonts w:ascii="Consolas" w:cs="Consolas" w:eastAsia="Consolas" w:hAnsi="Consolas"/>
          <w:sz w:val="15"/>
          <w:szCs w:val="15"/>
        </w:rPr>
        <w:t xml:space="preserve">- stage: DeployDev</w:t>
      </w:r>
    </w:p>
    <w:p>
      <w:pPr>
        <w:keepLines/>
        <w:shd w:fill="F4F5F7" w:color="auto" w:val="clear"/>
        <w:spacing w:after="0" w:before="0" w:line="216"/>
        <w:ind w:left="120" w:right="120"/>
      </w:pPr>
      <w:r>
        <w:rPr>
          <w:rFonts w:ascii="Consolas" w:cs="Consolas" w:eastAsia="Consolas" w:hAnsi="Consolas"/>
          <w:sz w:val="15"/>
          <w:szCs w:val="15"/>
        </w:rPr>
        <w:t xml:space="preserve">  jobs:</w:t>
      </w:r>
    </w:p>
    <w:p>
      <w:pPr>
        <w:keepLines/>
        <w:shd w:fill="F4F5F7" w:color="auto" w:val="clear"/>
        <w:spacing w:after="0" w:before="0" w:line="216"/>
        <w:ind w:left="120" w:right="120"/>
      </w:pPr>
      <w:r>
        <w:rPr>
          <w:rFonts w:ascii="Consolas" w:cs="Consolas" w:eastAsia="Consolas" w:hAnsi="Consolas"/>
          <w:sz w:val="15"/>
          <w:szCs w:val="15"/>
        </w:rPr>
        <w:t xml:space="preserve">  - job: SyncAndDeploy</w:t>
      </w:r>
    </w:p>
    <w:p>
      <w:pPr>
        <w:keepLines/>
        <w:shd w:fill="F4F5F7" w:color="auto" w:val="clear"/>
        <w:spacing w:after="0" w:before="0" w:line="216"/>
        <w:ind w:left="120" w:right="120"/>
      </w:pPr>
      <w:r>
        <w:rPr>
          <w:rFonts w:ascii="Consolas" w:cs="Consolas" w:eastAsia="Consolas" w:hAnsi="Consolas"/>
          <w:sz w:val="15"/>
          <w:szCs w:val="15"/>
        </w:rPr>
        <w:t xml:space="preserve">    steps:</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Update the dev workspace from main, then promote Dev -&gt; Test</w:t>
      </w:r>
    </w:p>
    <w:p>
      <w:pPr>
        <w:keepLines/>
        <w:shd w:fill="F4F5F7" w:color="auto" w:val="clear"/>
        <w:spacing w:after="0" w:before="0" w:line="216"/>
        <w:ind w:left="120" w:right="120"/>
      </w:pPr>
      <w:r>
        <w:rPr>
          <w:rFonts w:ascii="Consolas" w:cs="Consolas" w:eastAsia="Consolas" w:hAnsi="Consolas"/>
          <w:sz w:val="15"/>
          <w:szCs w:val="15"/>
        </w:rPr>
        <w:t xml:space="preserve">        fab api workspaces/$(devWorkspaceId)/git/updateFromGit --method post</w:t>
      </w:r>
    </w:p>
    <w:p>
      <w:pPr>
        <w:keepLines/>
        <w:shd w:fill="F4F5F7" w:color="auto" w:val="clear"/>
        <w:spacing w:after="0" w:before="0" w:line="216"/>
        <w:ind w:left="120" w:right="120"/>
      </w:pPr>
      <w:r>
        <w:rPr>
          <w:rFonts w:ascii="Consolas" w:cs="Consolas" w:eastAsia="Consolas" w:hAnsi="Consolas"/>
          <w:sz w:val="15"/>
          <w:szCs w:val="15"/>
        </w:rPr>
        <w:t xml:space="preserve">        fab api deploymentPipelines/$(pipelineId)/deploy --method post \</w:t>
      </w:r>
    </w:p>
    <w:p>
      <w:pPr>
        <w:keepLines/>
        <w:shd w:fill="F4F5F7" w:color="auto" w:val="clear"/>
        <w:spacing w:after="0" w:before="0" w:line="216"/>
        <w:ind w:left="120" w:right="120"/>
      </w:pPr>
      <w:r>
        <w:rPr>
          <w:rFonts w:ascii="Consolas" w:cs="Consolas" w:eastAsia="Consolas" w:hAnsi="Consolas"/>
          <w:sz w:val="15"/>
          <w:szCs w:val="15"/>
        </w:rPr>
        <w:t xml:space="preserve">            --body @deploy-dev-to-test.json</w:t>
      </w:r>
    </w:p>
    <w:p>
      <w:pPr>
        <w:keepLines/>
        <w:shd w:fill="F4F5F7" w:color="auto" w:val="clear"/>
        <w:spacing w:after="0" w:before="0" w:line="216"/>
        <w:ind w:left="120" w:right="120"/>
      </w:pPr>
      <w:r>
        <w:rPr>
          <w:rFonts w:ascii="Consolas" w:cs="Consolas" w:eastAsia="Consolas" w:hAnsi="Consolas"/>
          <w:sz w:val="15"/>
          <w:szCs w:val="15"/>
        </w:rPr>
        <w:t xml:space="preserve">      displayName: Sync dev workspace and deploy to Test</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stage: TestGates</w:t>
      </w:r>
    </w:p>
    <w:p>
      <w:pPr>
        <w:keepLines/>
        <w:shd w:fill="F4F5F7" w:color="auto" w:val="clear"/>
        <w:spacing w:after="0" w:before="0" w:line="216"/>
        <w:ind w:left="120" w:right="120"/>
      </w:pPr>
      <w:r>
        <w:rPr>
          <w:rFonts w:ascii="Consolas" w:cs="Consolas" w:eastAsia="Consolas" w:hAnsi="Consolas"/>
          <w:sz w:val="15"/>
          <w:szCs w:val="15"/>
        </w:rPr>
        <w:t xml:space="preserve">  dependsOn: DeployDev</w:t>
      </w:r>
    </w:p>
    <w:p>
      <w:pPr>
        <w:keepLines/>
        <w:shd w:fill="F4F5F7" w:color="auto" w:val="clear"/>
        <w:spacing w:after="0" w:before="0" w:line="216"/>
        <w:ind w:left="120" w:right="120"/>
      </w:pPr>
      <w:r>
        <w:rPr>
          <w:rFonts w:ascii="Consolas" w:cs="Consolas" w:eastAsia="Consolas" w:hAnsi="Consolas"/>
          <w:sz w:val="15"/>
          <w:szCs w:val="15"/>
        </w:rPr>
        <w:t xml:space="preserve">  jobs:</w:t>
      </w:r>
    </w:p>
    <w:p>
      <w:pPr>
        <w:keepLines/>
        <w:shd w:fill="F4F5F7" w:color="auto" w:val="clear"/>
        <w:spacing w:after="0" w:before="0" w:line="216"/>
        <w:ind w:left="120" w:right="120"/>
      </w:pPr>
      <w:r>
        <w:rPr>
          <w:rFonts w:ascii="Consolas" w:cs="Consolas" w:eastAsia="Consolas" w:hAnsi="Consolas"/>
          <w:sz w:val="15"/>
          <w:szCs w:val="15"/>
        </w:rPr>
        <w:t xml:space="preserve">  - job: AutomatedValidation</w:t>
      </w:r>
    </w:p>
    <w:p>
      <w:pPr>
        <w:keepLines/>
        <w:shd w:fill="F4F5F7" w:color="auto" w:val="clear"/>
        <w:spacing w:after="0" w:before="0" w:line="216"/>
        <w:ind w:left="120" w:right="120"/>
      </w:pPr>
      <w:r>
        <w:rPr>
          <w:rFonts w:ascii="Consolas" w:cs="Consolas" w:eastAsia="Consolas" w:hAnsi="Consolas"/>
          <w:sz w:val="15"/>
          <w:szCs w:val="15"/>
        </w:rPr>
        <w:t xml:space="preserve">    steps:</w:t>
      </w:r>
    </w:p>
    <w:p>
      <w:pPr>
        <w:keepLines/>
        <w:shd w:fill="F4F5F7" w:color="auto" w:val="clear"/>
        <w:spacing w:after="0" w:before="0" w:line="216"/>
        <w:ind w:left="120" w:right="120"/>
      </w:pPr>
      <w:r>
        <w:rPr>
          <w:rFonts w:ascii="Consolas" w:cs="Consolas" w:eastAsia="Consolas" w:hAnsi="Consolas"/>
          <w:sz w:val="15"/>
          <w:szCs w:val="15"/>
        </w:rPr>
        <w:t xml:space="preserve">    - script: pytest ./tests/data_quality -q</w:t>
      </w:r>
    </w:p>
    <w:p>
      <w:pPr>
        <w:keepLines/>
        <w:shd w:fill="F4F5F7" w:color="auto" w:val="clear"/>
        <w:spacing w:after="0" w:before="0" w:line="216"/>
        <w:ind w:left="120" w:right="120"/>
      </w:pPr>
      <w:r>
        <w:rPr>
          <w:rFonts w:ascii="Consolas" w:cs="Consolas" w:eastAsia="Consolas" w:hAnsi="Consolas"/>
          <w:sz w:val="15"/>
          <w:szCs w:val="15"/>
        </w:rPr>
        <w:t xml:space="preserve">      displayName: Data quality assertions against test gold layer</w:t>
      </w:r>
    </w:p>
    <w:p>
      <w:pPr>
        <w:keepLines/>
        <w:shd w:fill="F4F5F7" w:color="auto" w:val="clear"/>
        <w:spacing w:after="0" w:before="0" w:line="216"/>
        <w:ind w:left="120" w:right="120"/>
      </w:pPr>
      <w:r>
        <w:rPr>
          <w:rFonts w:ascii="Consolas" w:cs="Consolas" w:eastAsia="Consolas" w:hAnsi="Consolas"/>
          <w:sz w:val="15"/>
          <w:szCs w:val="15"/>
        </w:rPr>
        <w:t xml:space="preserve">    - script: python ./ci/test_rls_roles.py --workspace $(testWorkspaceId)</w:t>
      </w:r>
    </w:p>
    <w:p>
      <w:pPr>
        <w:keepLines/>
        <w:shd w:fill="F4F5F7" w:color="auto" w:val="clear"/>
        <w:spacing w:after="0" w:before="0" w:line="216"/>
        <w:ind w:left="120" w:right="120"/>
      </w:pPr>
      <w:r>
        <w:rPr>
          <w:rFonts w:ascii="Consolas" w:cs="Consolas" w:eastAsia="Consolas" w:hAnsi="Consolas"/>
          <w:sz w:val="15"/>
          <w:szCs w:val="15"/>
        </w:rPr>
        <w:t xml:space="preserve">      displayName: RLS and OLS assertions for every role</w:t>
      </w:r>
    </w:p>
    <w:p>
      <w:pPr>
        <w:keepLines/>
        <w:shd w:fill="F4F5F7" w:color="auto" w:val="clear"/>
        <w:spacing w:after="0" w:before="0" w:line="216"/>
        <w:ind w:left="120" w:right="120"/>
      </w:pPr>
      <w:r>
        <w:rPr>
          <w:rFonts w:ascii="Consolas" w:cs="Consolas" w:eastAsia="Consolas" w:hAnsi="Consolas"/>
          <w:sz w:val="15"/>
          <w:szCs w:val="15"/>
        </w:rPr>
        <w:t xml:space="preserve">    - script: python ./ci/test_performance.py --p95-seconds 5</w:t>
      </w:r>
    </w:p>
    <w:p>
      <w:pPr>
        <w:keepLines/>
        <w:shd w:fill="F4F5F7" w:color="auto" w:val="clear"/>
        <w:spacing w:after="0" w:before="0" w:line="216"/>
        <w:ind w:left="120" w:right="120"/>
      </w:pPr>
      <w:r>
        <w:rPr>
          <w:rFonts w:ascii="Consolas" w:cs="Consolas" w:eastAsia="Consolas" w:hAnsi="Consolas"/>
          <w:sz w:val="15"/>
          <w:szCs w:val="15"/>
        </w:rPr>
        <w:t xml:space="preserve">      displayName: Report performance profile</w:t>
      </w:r>
    </w:p>
    <w:p>
      <w:pPr>
        <w:keepLines/>
        <w:shd w:fill="F4F5F7" w:color="auto" w:val="clear"/>
        <w:spacing w:after="0" w:before="0" w:line="216"/>
        <w:ind w:left="120" w:right="120"/>
      </w:pPr>
      <w:r>
        <w:rPr>
          <w:rFonts w:ascii="Consolas" w:cs="Consolas" w:eastAsia="Consolas" w:hAnsi="Consolas"/>
          <w:sz w:val="15"/>
          <w:szCs w:val="15"/>
        </w:rPr>
        <w:t xml:space="preserve"> </w:t>
      </w:r>
    </w:p>
    <w:p>
      <w:pPr>
        <w:keepLines/>
        <w:shd w:fill="F4F5F7" w:color="auto" w:val="clear"/>
        <w:spacing w:after="0" w:before="0" w:line="216"/>
        <w:ind w:left="120" w:right="120"/>
      </w:pPr>
      <w:r>
        <w:rPr>
          <w:rFonts w:ascii="Consolas" w:cs="Consolas" w:eastAsia="Consolas" w:hAnsi="Consolas"/>
          <w:sz w:val="15"/>
          <w:szCs w:val="15"/>
        </w:rPr>
        <w:t xml:space="preserve">- stage: DeployProd</w:t>
      </w:r>
    </w:p>
    <w:p>
      <w:pPr>
        <w:keepLines/>
        <w:shd w:fill="F4F5F7" w:color="auto" w:val="clear"/>
        <w:spacing w:after="0" w:before="0" w:line="216"/>
        <w:ind w:left="120" w:right="120"/>
      </w:pPr>
      <w:r>
        <w:rPr>
          <w:rFonts w:ascii="Consolas" w:cs="Consolas" w:eastAsia="Consolas" w:hAnsi="Consolas"/>
          <w:sz w:val="15"/>
          <w:szCs w:val="15"/>
        </w:rPr>
        <w:t xml:space="preserve">  dependsOn: TestGates</w:t>
      </w:r>
    </w:p>
    <w:p>
      <w:pPr>
        <w:keepLines/>
        <w:shd w:fill="F4F5F7" w:color="auto" w:val="clear"/>
        <w:spacing w:after="0" w:before="0" w:line="216"/>
        <w:ind w:left="120" w:right="120"/>
      </w:pPr>
      <w:r>
        <w:rPr>
          <w:rFonts w:ascii="Consolas" w:cs="Consolas" w:eastAsia="Consolas" w:hAnsi="Consolas"/>
          <w:sz w:val="15"/>
          <w:szCs w:val="15"/>
        </w:rPr>
        <w:t xml:space="preserve">  condition: succeeded()</w:t>
      </w:r>
    </w:p>
    <w:p>
      <w:pPr>
        <w:keepLines/>
        <w:shd w:fill="F4F5F7" w:color="auto" w:val="clear"/>
        <w:spacing w:after="0" w:before="0" w:line="216"/>
        <w:ind w:left="120" w:right="120"/>
      </w:pPr>
      <w:r>
        <w:rPr>
          <w:rFonts w:ascii="Consolas" w:cs="Consolas" w:eastAsia="Consolas" w:hAnsi="Consolas"/>
          <w:sz w:val="15"/>
          <w:szCs w:val="15"/>
        </w:rPr>
        <w:t xml:space="preserve">  jobs:</w:t>
      </w:r>
    </w:p>
    <w:p>
      <w:pPr>
        <w:keepLines/>
        <w:shd w:fill="F4F5F7" w:color="auto" w:val="clear"/>
        <w:spacing w:after="0" w:before="0" w:line="216"/>
        <w:ind w:left="120" w:right="120"/>
      </w:pPr>
      <w:r>
        <w:rPr>
          <w:rFonts w:ascii="Consolas" w:cs="Consolas" w:eastAsia="Consolas" w:hAnsi="Consolas"/>
          <w:sz w:val="15"/>
          <w:szCs w:val="15"/>
        </w:rPr>
        <w:t xml:space="preserve">  - deployment: PromoteToProduction</w:t>
      </w:r>
    </w:p>
    <w:p>
      <w:pPr>
        <w:keepLines/>
        <w:shd w:fill="F4F5F7" w:color="auto" w:val="clear"/>
        <w:spacing w:after="0" w:before="0" w:line="216"/>
        <w:ind w:left="120" w:right="120"/>
      </w:pPr>
      <w:r>
        <w:rPr>
          <w:rFonts w:ascii="Consolas" w:cs="Consolas" w:eastAsia="Consolas" w:hAnsi="Consolas"/>
          <w:sz w:val="15"/>
          <w:szCs w:val="15"/>
        </w:rPr>
        <w:t xml:space="preserve">    environment: fabric-clinical-prod   # carries the manual approval gate</w:t>
      </w:r>
    </w:p>
    <w:p>
      <w:pPr>
        <w:keepLines/>
        <w:shd w:fill="F4F5F7" w:color="auto" w:val="clear"/>
        <w:spacing w:after="0" w:before="0" w:line="216"/>
        <w:ind w:left="120" w:right="120"/>
      </w:pPr>
      <w:r>
        <w:rPr>
          <w:rFonts w:ascii="Consolas" w:cs="Consolas" w:eastAsia="Consolas" w:hAnsi="Consolas"/>
          <w:sz w:val="15"/>
          <w:szCs w:val="15"/>
        </w:rPr>
        <w:t xml:space="preserve">    strategy:</w:t>
      </w:r>
    </w:p>
    <w:p>
      <w:pPr>
        <w:keepLines/>
        <w:shd w:fill="F4F5F7" w:color="auto" w:val="clear"/>
        <w:spacing w:after="0" w:before="0" w:line="216"/>
        <w:ind w:left="120" w:right="120"/>
      </w:pPr>
      <w:r>
        <w:rPr>
          <w:rFonts w:ascii="Consolas" w:cs="Consolas" w:eastAsia="Consolas" w:hAnsi="Consolas"/>
          <w:sz w:val="15"/>
          <w:szCs w:val="15"/>
        </w:rPr>
        <w:t xml:space="preserve">      runOnce:</w:t>
      </w:r>
    </w:p>
    <w:p>
      <w:pPr>
        <w:keepLines/>
        <w:shd w:fill="F4F5F7" w:color="auto" w:val="clear"/>
        <w:spacing w:after="0" w:before="0" w:line="216"/>
        <w:ind w:left="120" w:right="120"/>
      </w:pPr>
      <w:r>
        <w:rPr>
          <w:rFonts w:ascii="Consolas" w:cs="Consolas" w:eastAsia="Consolas" w:hAnsi="Consolas"/>
          <w:sz w:val="15"/>
          <w:szCs w:val="15"/>
        </w:rPr>
        <w:t xml:space="preserve">        deploy:</w:t>
      </w:r>
    </w:p>
    <w:p>
      <w:pPr>
        <w:keepLines/>
        <w:shd w:fill="F4F5F7" w:color="auto" w:val="clear"/>
        <w:spacing w:after="0" w:before="0" w:line="216"/>
        <w:ind w:left="120" w:right="120"/>
      </w:pPr>
      <w:r>
        <w:rPr>
          <w:rFonts w:ascii="Consolas" w:cs="Consolas" w:eastAsia="Consolas" w:hAnsi="Consolas"/>
          <w:sz w:val="15"/>
          <w:szCs w:val="15"/>
        </w:rPr>
        <w:t xml:space="preserve">          steps:</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fab api deploymentPipelines/$(pipelineId)/deploy --method post \</w:t>
      </w:r>
    </w:p>
    <w:p>
      <w:pPr>
        <w:keepLines/>
        <w:shd w:fill="F4F5F7" w:color="auto" w:val="clear"/>
        <w:spacing w:after="0" w:before="0" w:line="216"/>
        <w:ind w:left="120" w:right="120"/>
      </w:pPr>
      <w:r>
        <w:rPr>
          <w:rFonts w:ascii="Consolas" w:cs="Consolas" w:eastAsia="Consolas" w:hAnsi="Consolas"/>
          <w:sz w:val="15"/>
          <w:szCs w:val="15"/>
        </w:rPr>
        <w:t xml:space="preserve">                  --body @deploy-test-to-prod.json</w:t>
      </w:r>
    </w:p>
    <w:p>
      <w:pPr>
        <w:keepLines/>
        <w:shd w:fill="F4F5F7" w:color="auto" w:val="clear"/>
        <w:spacing w:after="0" w:before="0" w:line="216"/>
        <w:ind w:left="120" w:right="120"/>
      </w:pPr>
      <w:r>
        <w:rPr>
          <w:rFonts w:ascii="Consolas" w:cs="Consolas" w:eastAsia="Consolas" w:hAnsi="Consolas"/>
          <w:sz w:val="15"/>
          <w:szCs w:val="15"/>
        </w:rPr>
        <w:t xml:space="preserve">            displayName: Promote Test to Production</w:t>
      </w:r>
    </w:p>
    <w:p>
      <w:pPr>
        <w:keepLines/>
        <w:shd w:fill="F4F5F7" w:color="auto" w:val="clear"/>
        <w:spacing w:after="0" w:before="0" w:line="216"/>
        <w:ind w:left="120" w:right="120"/>
      </w:pPr>
      <w:r>
        <w:rPr>
          <w:rFonts w:ascii="Consolas" w:cs="Consolas" w:eastAsia="Consolas" w:hAnsi="Consolas"/>
          <w:sz w:val="15"/>
          <w:szCs w:val="15"/>
        </w:rPr>
        <w:t xml:space="preserve">          - script: |</w:t>
      </w:r>
    </w:p>
    <w:p>
      <w:pPr>
        <w:keepLines/>
        <w:shd w:fill="F4F5F7" w:color="auto" w:val="clear"/>
        <w:spacing w:after="0" w:before="0" w:line="216"/>
        <w:ind w:left="120" w:right="120"/>
      </w:pPr>
      <w:r>
        <w:rPr>
          <w:rFonts w:ascii="Consolas" w:cs="Consolas" w:eastAsia="Consolas" w:hAnsi="Consolas"/>
          <w:sz w:val="15"/>
          <w:szCs w:val="15"/>
        </w:rPr>
        <w:t xml:space="preserve">              # Apply versioned SQL security objects to the prod endpoint</w:t>
      </w:r>
    </w:p>
    <w:p>
      <w:pPr>
        <w:keepLines/>
        <w:shd w:fill="F4F5F7" w:color="auto" w:val="clear"/>
        <w:spacing w:after="0" w:before="0" w:line="216"/>
        <w:ind w:left="120" w:right="120"/>
      </w:pPr>
      <w:r>
        <w:rPr>
          <w:rFonts w:ascii="Consolas" w:cs="Consolas" w:eastAsia="Consolas" w:hAnsi="Consolas"/>
          <w:sz w:val="15"/>
          <w:szCs w:val="15"/>
        </w:rPr>
        <w:t xml:space="preserve">              sqlcmd -S $(prodSqlEndpoint) -G -i ./sql/security/*.sql</w:t>
      </w:r>
    </w:p>
    <w:p>
      <w:pPr>
        <w:keepLines/>
        <w:shd w:fill="F4F5F7" w:color="auto" w:val="clear"/>
        <w:spacing w:after="0" w:before="0" w:line="216"/>
        <w:ind w:left="120" w:right="120"/>
      </w:pPr>
      <w:r>
        <w:rPr>
          <w:rFonts w:ascii="Consolas" w:cs="Consolas" w:eastAsia="Consolas" w:hAnsi="Consolas"/>
          <w:sz w:val="15"/>
          <w:szCs w:val="15"/>
        </w:rPr>
        <w:t xml:space="preserve">            displayName: Apply GRANT/DENY and security policies</w:t>
      </w:r>
    </w:p>
    <w:p>
      <w:pPr>
        <w:keepLines/>
        <w:shd w:fill="F4F5F7" w:color="auto" w:val="clear"/>
        <w:spacing w:after="0" w:before="0" w:line="216"/>
        <w:ind w:left="120" w:right="120"/>
      </w:pPr>
      <w:r>
        <w:rPr>
          <w:rFonts w:ascii="Consolas" w:cs="Consolas" w:eastAsia="Consolas" w:hAnsi="Consolas"/>
          <w:sz w:val="15"/>
          <w:szCs w:val="15"/>
        </w:rPr>
        <w:t xml:space="preserve">          - script: python ./ci/smoke_test.py --workspace $(prodWorkspaceId)</w:t>
      </w:r>
    </w:p>
    <w:p>
      <w:pPr>
        <w:keepLines/>
        <w:shd w:fill="F4F5F7" w:color="auto" w:val="clear"/>
        <w:spacing w:after="180" w:before="0" w:line="216"/>
        <w:ind w:left="120" w:right="120"/>
      </w:pPr>
      <w:r>
        <w:rPr>
          <w:rFonts w:ascii="Consolas" w:cs="Consolas" w:eastAsia="Consolas" w:hAnsi="Consolas"/>
          <w:sz w:val="15"/>
          <w:szCs w:val="15"/>
        </w:rPr>
        <w:t xml:space="preserve">            displayName: Post-deployment smoke test</w:t>
      </w:r>
    </w:p>
    <w:p>
      <w:pPr>
        <w:spacing w:after="140" w:line="276"/>
        <w:jc w:val="both"/>
      </w:pPr>
      <w:r>
        <w:rPr>
          <w:rFonts w:ascii="Calibri" w:cs="Calibri" w:eastAsia="Calibri" w:hAnsi="Calibri"/>
          <w:b w:val="false"/>
          <w:bCs w:val="false"/>
          <w:i w:val="false"/>
          <w:iCs w:val="false"/>
          <w:sz w:val="22"/>
          <w:szCs w:val="22"/>
        </w:rPr>
        <w:t xml:space="preserve">Semantic model deployment uses the XMLA endpoint for anything the deployment pipeline cannot express — partition definitions, OLS role metadata, and incremental refresh policies are applied by a Tabular Editor script over XMLA rather than by hand. Report deployment uses the .pbir project format, so reports are deployed as definitions bound to the target model rather than as republished .pbix files carrying an embedded dataset.</w:t>
      </w:r>
    </w:p>
    <w:p>
      <w:pPr>
        <w:pStyle w:val="Heading2"/>
        <w:spacing w:after="120" w:before="260"/>
      </w:pPr>
      <w:r>
        <w:rPr>
          <w:rFonts w:ascii="Calibri" w:cs="Calibri" w:eastAsia="Calibri" w:hAnsi="Calibri"/>
          <w:b/>
          <w:bCs/>
          <w:color w:val="2F5496"/>
          <w:sz w:val="26"/>
          <w:szCs w:val="26"/>
        </w:rPr>
        <w:t xml:space="preserve">5.7 Release Gates</w:t>
      </w:r>
    </w:p>
    <w:p>
      <w:pPr>
        <w:spacing w:after="140" w:line="276"/>
        <w:jc w:val="both"/>
      </w:pPr>
      <w:r>
        <w:rPr>
          <w:rFonts w:ascii="Calibri" w:cs="Calibri" w:eastAsia="Calibri" w:hAnsi="Calibri"/>
          <w:b w:val="false"/>
          <w:bCs w:val="false"/>
          <w:i w:val="false"/>
          <w:iCs w:val="false"/>
          <w:sz w:val="22"/>
          <w:szCs w:val="22"/>
        </w:rPr>
        <w:t xml:space="preserve">A build reaching production must have passed all of the following. These are automated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Gate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Stage</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Failure Behaviour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Model best-practice analyzer, zero errors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 validation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merge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PHI exposure check — no classified column outside the vault schema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 validation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merge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Notebook unit tests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 validation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merge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Row-count and referential integrity assertions on test 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promotion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 assertion suite: each role returns exactly the expected row count for a set of test principals, including a principal with no scope returning zero rows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promotion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OLS assertion suite: restricted columns are absent from metadata for each role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promotion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Report performance profile within p95 target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promotion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Stakeholder acceptance sign-off (manual)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promotion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Change record approved by change advisory board (manual)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Production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Blocks deployment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Post-deployment smoke test: model queryable, reports render, freshness rule green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Production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Triggers rollback</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RLS assertion suite deserves particular emphasis. Row-level security is the control most likely to be silently broken by an unrelated model change — adding a relationship, changing a filter direction, renaming a dimension — and the failure is invisible in normal use because the user who is over-permissioned sees more data without any error. Automated assertion is the only reliable defence.</w:t>
      </w:r>
    </w:p>
    <w:p>
      <w:pPr>
        <w:pStyle w:val="Heading2"/>
        <w:spacing w:after="120" w:before="260"/>
      </w:pPr>
      <w:r>
        <w:rPr>
          <w:rFonts w:ascii="Calibri" w:cs="Calibri" w:eastAsia="Calibri" w:hAnsi="Calibri"/>
          <w:b/>
          <w:bCs/>
          <w:color w:val="2F5496"/>
          <w:sz w:val="26"/>
          <w:szCs w:val="26"/>
        </w:rPr>
        <w:t xml:space="preserve">5.8 Change Management in a Clinical Environment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Standard changes — new report page, new measure that does not alter an existing definition, cosmetic changes — follow the normal pipeline with the deployment window.</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Significant changes — any change to a published KPI definition, to the security model, or to gold table schema — require change advisory board approval and advance notice to affected clinical leadership, because a leader who sees their length-of-stay figure move overnight without explanation will lose trust in the platform regardless of whether the new figure is more correct.</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Emergency changes — a defect producing clinically misleading output, or an access control failure — may bypass the window under the hotfix path, with retrospective approval within one business day and a mandatory post-incident review. An access control failure is contained first and fixed second: revoke access, then diagnose.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Rollback is by redeploying the previous tagged release through the same pipeline. Every production deployment is tagged in Git with the release identifier and the change record number, so rollback is a documented, tested path rather than an improvisation at 22:30.</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6. Operational Procedures</w:t>
      </w:r>
    </w:p>
    <w:p>
      <w:pPr>
        <w:pStyle w:val="Heading2"/>
        <w:spacing w:after="120" w:before="260"/>
      </w:pPr>
      <w:r>
        <w:rPr>
          <w:rFonts w:ascii="Calibri" w:cs="Calibri" w:eastAsia="Calibri" w:hAnsi="Calibri"/>
          <w:b/>
          <w:bCs/>
          <w:color w:val="2F5496"/>
          <w:sz w:val="26"/>
          <w:szCs w:val="26"/>
        </w:rPr>
        <w:t xml:space="preserve">6.1 Capacity Monitoring</w:t>
      </w:r>
    </w:p>
    <w:p>
      <w:pPr>
        <w:spacing w:after="140" w:line="276"/>
        <w:jc w:val="both"/>
      </w:pPr>
      <w:r>
        <w:rPr>
          <w:rFonts w:ascii="Calibri" w:cs="Calibri" w:eastAsia="Calibri" w:hAnsi="Calibri"/>
          <w:b w:val="false"/>
          <w:bCs w:val="false"/>
          <w:i w:val="false"/>
          <w:iCs w:val="false"/>
          <w:sz w:val="22"/>
          <w:szCs w:val="22"/>
        </w:rPr>
        <w:t xml:space="preserve">The Microsoft Fabric Capacity Metrics app is the primary instrument, supplemented by pipeline run logs and Activator rules. Monitoring is deliberately narrow — a small number of metrics with defined thresholds and a named recipient — because an alert that nobody owns is noise, and noise in a 24/7 environment trains people to ignore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760"/>
        <w:gridCol w:w="19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Metric</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Warning</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Alert / Action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Notified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Interactive CU utilization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70% for 30 min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85% for 15 min → auto-scale + page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engineer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Background CU utilization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60% for 60 min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80% for 30 min → investigate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channel</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Throttling / delayed operations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occurrence → Sev 2 incident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 analytics lead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Overage / carry-forward debt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10% of daily budget</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25% → scale review within 24h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Nightly pipeline duration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3 hours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4 hours → investigate before 06:00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engineer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Pipeline failure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failure → Sev 1 or 2 per Section 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engineer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freshness (gold updated)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Not complete by 06:00 → Sev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 clinical ops duty manager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Silver quarantine rate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0.5% of rows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 → data steward review same 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informatics steward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Lake fallback events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occurrence → model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engineering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Real-time ingestion lag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5 min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10 min → Sev 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On-call + integration team</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PHI vault query executed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Any occurrence → review within 15 min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Failed authentication spike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&gt; 10 in 5 min for one principal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Conditional access lockout +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operations</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A weekly capacity report is generated from the Metrics app and reviewed at the Monday operations stand-up: peak utilization by day, top ten CU-consuming items, slowest report pages, and trend against the ninety-day baseline. The purpose of this review is to catch gradual degradation — a report that grew from three seconds to seven over two months — before it becomes an incident.</w:t>
      </w:r>
    </w:p>
    <w:p>
      <w:pPr>
        <w:pStyle w:val="Heading2"/>
        <w:spacing w:after="120" w:before="260"/>
      </w:pPr>
      <w:r>
        <w:rPr>
          <w:rFonts w:ascii="Calibri" w:cs="Calibri" w:eastAsia="Calibri" w:hAnsi="Calibri"/>
          <w:b/>
          <w:bCs/>
          <w:color w:val="2F5496"/>
          <w:sz w:val="26"/>
          <w:szCs w:val="26"/>
        </w:rPr>
        <w:t xml:space="preserve">6.2 Incident Response</w:t>
      </w:r>
    </w:p>
    <w:p>
      <w:pPr>
        <w:pStyle w:val="Heading3"/>
        <w:spacing w:after="100" w:before="200"/>
      </w:pPr>
      <w:r>
        <w:rPr>
          <w:rFonts w:ascii="Calibri" w:cs="Calibri" w:eastAsia="Calibri" w:hAnsi="Calibri"/>
          <w:b/>
          <w:bCs/>
          <w:color w:val="2F5496"/>
          <w:sz w:val="23"/>
          <w:szCs w:val="23"/>
        </w:rPr>
        <w:t xml:space="preserve">6.2.1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100"/>
        <w:gridCol w:w="19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Severity</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Definition</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Response Target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Escalation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Sev 1</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PHI exposure or suspected impermissible access; clinically misleading data published; platform unavailable during business hours; data not refreshed by 06:00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15 min acknowledge, 1 hour containment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Immediate to analytics lead; Privacy Officer if PHI involved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Sev 2</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Pipeline failure with refresh recoverable before 06:00; sustained throttling; real-time path down; single report broken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30 min acknowledge, 4 hour resolution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 at 4 hours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Sev 3</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Partial data quality issue affecting one department; slow but functional reports; non-urgent defect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Next business 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Standard backlog</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00" w:before="200"/>
      </w:pPr>
      <w:r>
        <w:rPr>
          <w:rFonts w:ascii="Calibri" w:cs="Calibri" w:eastAsia="Calibri" w:hAnsi="Calibri"/>
          <w:b/>
          <w:bCs/>
          <w:color w:val="2F5496"/>
          <w:sz w:val="23"/>
          <w:szCs w:val="23"/>
        </w:rPr>
        <w:t xml:space="preserve">6.2.2 Runbook — nightly pipeline fails at 03:00</w:t>
      </w:r>
    </w:p>
    <w:p>
      <w:pPr>
        <w:spacing w:after="140" w:line="276"/>
        <w:jc w:val="both"/>
      </w:pPr>
      <w:r>
        <w:rPr>
          <w:rFonts w:ascii="Calibri" w:cs="Calibri" w:eastAsia="Calibri" w:hAnsi="Calibri"/>
          <w:b w:val="false"/>
          <w:bCs w:val="false"/>
          <w:i w:val="false"/>
          <w:iCs w:val="false"/>
          <w:sz w:val="22"/>
          <w:szCs w:val="22"/>
        </w:rPr>
        <w:t xml:space="preserve">This is the scenario the on-call rotation exists for, and it is worth walking through concretely because the decisions are time-boxed against the 06:00 clinical deadline.</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03:00 — Detection. The pipeline On Failure activity writes to the operational log, posts to the data engineering Teams channel, and raises a PagerDuty incident. Activator independently monitors freshness, so a pipeline that hangs without failing is still detected.</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03:05 — Acknowledgement. The on-call data engineer acknowledges within the fifteen-minute target. Failure to acknowledge escalates automatically to the secondary on-call at fifteen minutes and to the analytics lead at thirty.</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03:05–03:20 — Triage. The engineer identifies the failed activity and classifies the cause into one of four buckets: source unavailable (EHR maintenance window overran, credential expired, network path down); data quality (schema drift, unmapped codes above threshold, referential failure); capacity (throttling, Spark session exhaustion); or platform (Fabric service incident, checked against the service health dashboard).</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03:20 — Decision point. If the failure is transient, the engineer reruns from the failed activity; the pipeline is idempotent and restartable at activity granularity, which is why it is built that way. If the rerun can complete before 05:30, the 06:00 SLA is still met and the incident closes as Sev 2. If it cannot, the incident is raised to Sev 1 and step 5 applies.</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04:00 — Partial publication. Where only some hospitals failed, the pipeline publishes the successful sites and marks the failed sites as stale in a data-status table that every report surfaces as a banner. Publishing eleven of twelve hospitals with a visible warning is better than publishing nothing, and far better than publishing twelve hospitals of which one is silently wrong.</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05:30 — Communication. If the 06:00 SLA will be missed, the on-call engineer notifies the clinical operations duty manager and posts to the clinical leadership channel with a plain statement of what is stale, which sites are affected, and the expected recovery time. Communication is not optional and is not delegated to the recovery being finished.</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08:00 — Handover. Unresolved incidents transfer to the day team at the morning stand-up with a written handover: what happened, what has been tried, current state, next action.</w:t>
      </w:r>
    </w:p>
    <w:p>
      <w:pPr>
        <w:pStyle w:val="ListParagraph"/>
        <w:numPr>
          <w:ilvl w:val="0"/>
          <w:numId w:val="8"/>
        </w:numPr>
        <w:spacing w:after="110" w:line="276"/>
      </w:pPr>
      <w:r>
        <w:rPr>
          <w:rFonts w:ascii="Calibri" w:cs="Calibri" w:eastAsia="Calibri" w:hAnsi="Calibri"/>
          <w:b w:val="false"/>
          <w:bCs w:val="false"/>
          <w:i w:val="false"/>
          <w:iCs w:val="false"/>
          <w:sz w:val="22"/>
          <w:szCs w:val="22"/>
        </w:rPr>
        <w:t xml:space="preserve">Within 5 business days — Post-incident review. Sev 1 and repeated Sev 2 incidents receive a blameless review producing a tracked action. Recurring causes drive automation: three occurrences of the same failure mode is treated as a defect in the pipeline, not in the on-call rotation.</w:t>
      </w:r>
    </w:p>
    <w:p>
      <w:pPr>
        <w:pStyle w:val="Heading3"/>
        <w:spacing w:after="100" w:before="200"/>
      </w:pPr>
      <w:r>
        <w:rPr>
          <w:rFonts w:ascii="Calibri" w:cs="Calibri" w:eastAsia="Calibri" w:hAnsi="Calibri"/>
          <w:b/>
          <w:bCs/>
          <w:color w:val="2F5496"/>
          <w:sz w:val="23"/>
          <w:szCs w:val="23"/>
        </w:rPr>
        <w:t xml:space="preserve">6.2.3 On-call model for a 24/7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Tier</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Who</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Coverage</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Responsibility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Primary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rotation (8 engineers, weekly)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24/7</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First response, triage, rerun, containment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Secondary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Senior data engineer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24/7 backup</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Escalation at 15 min; complex recovery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Named individual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Business hours + Sev 1 any time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Decision authority on partial publication and clinical communication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Named individual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Sev 1 PHI incidents, any time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Breach assessment and notification decision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 application on-call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 team rotation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24/7</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Source-side failures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Microsoft support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 Direct / Premier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24/7 for Sev A</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Platform incidents</w:t>
            </w:r>
          </w:p>
        </w:tc>
      </w:tr>
    </w:tbl>
    <w:p>
      <w:pPr>
        <w:spacing w:after="160"/>
      </w:pPr>
      <w:r>
        <w:rPr>
          <w:rFonts w:ascii="Calibri" w:cs="Calibri" w:eastAsia="Calibri" w:hAnsi="Calibri"/>
          <w:b w:val="false"/>
          <w:bCs w:val="false"/>
          <w:i w:val="false"/>
          <w:iCs w:val="false"/>
          <w:sz w:val="22"/>
          <w:szCs w:val="22"/>
        </w:rPr>
        <w:t xml:space="preserve"/>
      </w:r>
    </w:p>
    <w:p>
      <w:pPr>
        <w:spacing w:after="140" w:line="276"/>
        <w:jc w:val="both"/>
      </w:pPr>
      <w:r>
        <w:rPr>
          <w:rFonts w:ascii="Calibri" w:cs="Calibri" w:eastAsia="Calibri" w:hAnsi="Calibri"/>
          <w:b w:val="false"/>
          <w:bCs w:val="false"/>
          <w:i w:val="false"/>
          <w:iCs w:val="false"/>
          <w:sz w:val="22"/>
          <w:szCs w:val="22"/>
        </w:rPr>
        <w:t xml:space="preserve">The on-call engineer is compensated for the rotation and is not expected to work a normal day after a night incident. This is stated in an architecture document deliberately: a 24/7 support commitment that depends on unpaid goodwill degrades within a quarter, and the operational SLAs above are only credible if the rotation is genuinely staffed.</w:t>
      </w:r>
    </w:p>
    <w:p>
      <w:pPr>
        <w:pStyle w:val="Heading2"/>
        <w:spacing w:after="120" w:before="260"/>
      </w:pPr>
      <w:r>
        <w:rPr>
          <w:rFonts w:ascii="Calibri" w:cs="Calibri" w:eastAsia="Calibri" w:hAnsi="Calibri"/>
          <w:b/>
          <w:bCs/>
          <w:color w:val="2F5496"/>
          <w:sz w:val="26"/>
          <w:szCs w:val="26"/>
        </w:rPr>
        <w:t xml:space="preserve">6.3 Scheduled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200"/>
        <w:gridCol w:w="25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Activity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Frequency</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Owner</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Output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utilization and performance review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Weekly (Mon)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Trend report; scaling recommendation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Delta OPTIMIZE and VACUUM on gold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Weekly (Sun 02:00)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Automated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Compaction log</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Quarantine queue disposition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Daily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Clinical informatics steward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Cleared queue; mapping updates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Backup and restore test (workspace + model)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Monthly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Verified restore evidence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SQL / workspace permission reconciliation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Monthly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Officer</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Discrepancy report; 14-day remediation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Access recertification (sec_user_scope)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Quarterly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Department heads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Confirmed or revoked scopes; expiry applied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SKU and cost review against actuals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Quarterly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Analytics lead + Finance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Reservation and scaling decision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audit — RLS/OLS/CLS effectiveness testing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Semi-annual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 Privacy Officers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Audit report to compliance committee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HIPAA risk assessment refresh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Annual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Updated risk register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Disaster recovery exercise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Annual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engineering + Security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Tested runbook; RTO/RPO evidence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Architecture document review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Semi-annual, or on major change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Data platform architect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Revised version through document control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KPI definition review with CMIO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Quarterly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CMIO + analytics lead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Confirmed or revised definitions</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6.4 Business Continuity</w:t>
      </w:r>
    </w:p>
    <w:p>
      <w:pPr>
        <w:spacing w:after="140" w:line="276"/>
        <w:jc w:val="both"/>
      </w:pPr>
      <w:r>
        <w:rPr>
          <w:rFonts w:ascii="Calibri" w:cs="Calibri" w:eastAsia="Calibri" w:hAnsi="Calibri"/>
          <w:b w:val="false"/>
          <w:bCs w:val="false"/>
          <w:i w:val="false"/>
          <w:iCs w:val="false"/>
          <w:sz w:val="22"/>
          <w:szCs w:val="22"/>
        </w:rPr>
        <w:t xml:space="preserve">The platform is an operational reporting system, not a clinical system of record. Its unavailability does not affect patient care directly, and the recovery objectives reflect that proportionality: a recovery time objective of four hours during business hours and a recovery point objective of one business day, since the authoritative clinical data remains in the EHR and can be re-extracted.</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Item definitions are recoverable from Git; a workspace can be rebuilt from the repository and the deployment pipeline in under two hours, which is verified by the annual exercise.</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Gold data is recoverable by re-running the transformation notebooks from bronze; bronze is recoverable by re-extracting from the EHR within the source retention window.</w:t>
      </w:r>
    </w:p>
    <w:p>
      <w:pPr>
        <w:pStyle w:val="ListParagraph"/>
        <w:numPr>
          <w:ilvl w:val="0"/>
          <w:numId w:val="2"/>
        </w:numPr>
        <w:spacing w:after="90" w:line="276"/>
      </w:pPr>
      <w:r>
        <w:rPr>
          <w:rFonts w:ascii="Calibri" w:cs="Calibri" w:eastAsia="Calibri" w:hAnsi="Calibri"/>
          <w:b w:val="false"/>
          <w:bCs w:val="false"/>
          <w:i w:val="false"/>
          <w:iCs w:val="false"/>
          <w:sz w:val="22"/>
          <w:szCs w:val="22"/>
        </w:rPr>
        <w:t xml:space="preserve">During an extended outage, hospitals fall back to EHR-native operational reports. This fallback is documented in the department runbooks so that it is a known procedure rather than an improvisation.</w:t>
      </w:r>
    </w:p>
    <w:p>
      <w:r>
        <w:br w:type="page"/>
      </w:r>
    </w:p>
    <w:p>
      <w:pPr>
        <w:pStyle w:val="Heading1"/>
        <w:pBdr>
          <w:bottom w:val="single" w:color="D0D7E5" w:sz="8" w:space="4"/>
        </w:pBdr>
        <w:spacing w:after="160" w:before="320"/>
      </w:pPr>
      <w:r>
        <w:rPr>
          <w:rFonts w:ascii="Calibri" w:cs="Calibri" w:eastAsia="Calibri" w:hAnsi="Calibri"/>
          <w:b/>
          <w:bCs/>
          <w:color w:val="1F3864"/>
          <w:sz w:val="34"/>
          <w:szCs w:val="34"/>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Term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Definition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Admit, Discharge, Transfer — the HL7 message family describing patient movement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ALOS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Average length of stay, computed as patient days divided by discharges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Column-level security — restricting access to specific columns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CU</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Capacity Unit — the unit of Fabric compute; an F64 provides 64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 Lake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Fabric semantic model mode reading Delta tables from OneLake without import or DirectQuery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Electronic Health Record system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EMPI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Enterprise Master Patient Index — resolves one patient identity across sites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HIPAA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Health Insurance Portability and Accountability Act of 1996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LWBS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Left without being seen — an ED throughput measure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Medallion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Bronze / silver / gold layered data architecture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Object-level security — restricting the visibility of tables or columns in a semantic model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OneLake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The single logical data lake underlying all Fabric workspaces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PHI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Protected Health Information as defined by HIPAA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Row-level security — restricting which rows a user can retrieve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SCD-2</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Slowly changing dimension type 2 — retains history by versioning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SIEM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Security Information and Event Management system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TMDL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Tabular Model Definition Language — text format for semantic model definitions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V-Order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Fabric write-time optimization improving Delta Parquet read performance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XMLA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The endpoint protocol used for programmatic semantic model deployment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.pbir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Power BI report project format storing report definitions as text for source control</w:t>
            </w:r>
          </w:p>
        </w:tc>
      </w:tr>
    </w:tbl>
    <w:p>
      <w:pPr>
        <w:spacing w:after="160"/>
      </w:pPr>
      <w:r>
        <w:rPr>
          <w:rFonts w:ascii="Calibri" w:cs="Calibri" w:eastAsia="Calibri" w:hAnsi="Calibri"/>
          <w:b w:val="false"/>
          <w:bCs w:val="false"/>
          <w:i w:val="false"/>
          <w:iCs w:val="false"/>
          <w:sz w:val="22"/>
          <w:szCs w:val="22"/>
        </w:rPr>
        <w:t xml:space="preserve"/>
      </w:r>
    </w:p>
    <w:p>
      <w:pPr>
        <w:pStyle w:val="Heading1"/>
        <w:pBdr>
          <w:bottom w:val="single" w:color="D0D7E5" w:sz="8" w:space="4"/>
        </w:pBdr>
        <w:spacing w:after="160" w:before="320"/>
      </w:pPr>
      <w:r>
        <w:rPr>
          <w:rFonts w:ascii="Calibri" w:cs="Calibri" w:eastAsia="Calibri" w:hAnsi="Calibri"/>
          <w:b/>
          <w:bCs/>
          <w:color w:val="1F3864"/>
          <w:sz w:val="34"/>
          <w:szCs w:val="34"/>
        </w:rPr>
        <w:t xml:space="preserve">Appendix B — KPI Definitions</w:t>
      </w:r>
    </w:p>
    <w:p>
      <w:pPr>
        <w:spacing w:after="140" w:line="276"/>
        <w:jc w:val="both"/>
      </w:pPr>
      <w:r>
        <w:rPr>
          <w:rFonts w:ascii="Calibri" w:cs="Calibri" w:eastAsia="Calibri" w:hAnsi="Calibri"/>
          <w:b w:val="false"/>
          <w:bCs w:val="false"/>
          <w:i w:val="false"/>
          <w:iCs w:val="false"/>
          <w:sz w:val="22"/>
          <w:szCs w:val="22"/>
        </w:rPr>
        <w:t xml:space="preserve">These definitions are the network-approved standard and are implemented once, in the certified semantic model. Any report displaying a differently-defined measure is out of compliance with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KPI</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Numerator</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Denominator</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Inclusions / Exclusions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Average length of stay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Sum of patient days for discharged encounters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discharges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Inpatient and observation only; excludes same-day discharges and encounters with LOS &gt; 365 days pending review</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30-day unplanned readmission rate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index discharges followed by an unplanned inpatient readmission within 30 days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eligible index discharges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Excludes planned readmissions, transfers to another acute facility, deaths, and discharges against medical advice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Encounter volume by department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encounters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n/a</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Attributed to the discharging department; transfers counted once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Occupancy rate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Sum of midnight census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Sum of staffed beds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Staffed beds sourced from the daily capacity file, not licensed beds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ED length of stay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Sum of minutes from arrival to departure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ED encounters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Separated into discharged and admitted cohorts; boarding time reported separately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Observation conversion rate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observation encounters converted to inpatient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Count of observation encounters</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Conversion identified by encounter class change within the same episode</w:t>
            </w:r>
          </w:p>
        </w:tc>
      </w:tr>
    </w:tbl>
    <w:p>
      <w:pPr>
        <w:spacing w:after="160"/>
      </w:pPr>
      <w:r>
        <w:rPr>
          <w:rFonts w:ascii="Calibri" w:cs="Calibri" w:eastAsia="Calibri" w:hAnsi="Calibri"/>
          <w:b w:val="false"/>
          <w:bCs w:val="false"/>
          <w:i w:val="false"/>
          <w:iCs w:val="false"/>
          <w:sz w:val="22"/>
          <w:szCs w:val="22"/>
        </w:rPr>
        <w:t xml:space="preserve"/>
      </w:r>
    </w:p>
    <w:p>
      <w:pPr>
        <w:pStyle w:val="Heading1"/>
        <w:pBdr>
          <w:bottom w:val="single" w:color="D0D7E5" w:sz="8" w:space="4"/>
        </w:pBdr>
        <w:spacing w:after="160" w:before="320"/>
      </w:pPr>
      <w:r>
        <w:rPr>
          <w:rFonts w:ascii="Calibri" w:cs="Calibri" w:eastAsia="Calibri" w:hAnsi="Calibri"/>
          <w:b/>
          <w:bCs/>
          <w:color w:val="1F3864"/>
          <w:sz w:val="34"/>
          <w:szCs w:val="34"/>
        </w:rPr>
        <w:t xml:space="preserve">Appendix C — Open Items for Review Board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000"/>
        <w:gridCol w:w="1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Question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Owner</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alibri" w:cs="Calibri" w:eastAsia="Calibri" w:hAnsi="Calibri"/>
                <w:b/>
                <w:bCs/>
                <w:color w:val="FFFFFF"/>
                <w:sz w:val="18"/>
                <w:szCs w:val="18"/>
              </w:rPr>
              <w:t xml:space="preserve">Needed By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 the EHR extract method and whether change-data-capture is available, which determines the achievability of the 3.5-hour refresh target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EHR Application Manager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build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 whether providers may see medical record numbers for their own panel, as proposed in Section 3.6.1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 + CMIO</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build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Agree the small-cell suppression threshold; 11 is proposed, some networks use 6 or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Privacy Officer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build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 the source of staffed-bed counts for the occupancy denominator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Hospital Operations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gold build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Approve the F64 reservation and the F128 scheduled burst budget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Finance + Director EDA</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capacity purchase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Confirm 24/7 on-call staffing and compensation model for the data engineering rotation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Director EDA + HR</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go-live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O7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Determine whether release 1 includes outpatient encounters or restricts to inpatient, observation, and 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CMIO</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alibri" w:cs="Calibri" w:eastAsia="Calibri" w:hAnsi="Calibri"/>
                <w:b w:val="false"/>
                <w:bCs w:val="false"/>
                <w:color w:val="000000"/>
                <w:sz w:val="18"/>
                <w:szCs w:val="18"/>
              </w:rPr>
              <w:t xml:space="preserve">Before build</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rPr>
          <w:rFonts w:ascii="Calibri" w:cs="Calibri" w:eastAsia="Calibri" w:hAnsi="Calibri"/>
          <w:b/>
          <w:bCs/>
          <w:color w:val="2F5496"/>
          <w:sz w:val="26"/>
          <w:szCs w:val="26"/>
        </w:rPr>
        <w:t xml:space="preserve">End of Document</w:t>
      </w:r>
    </w:p>
    <w:p>
      <w:pPr>
        <w:spacing w:after="140" w:line="276"/>
        <w:jc w:val="both"/>
      </w:pPr>
      <w:r>
        <w:rPr>
          <w:rFonts w:ascii="Calibri" w:cs="Calibri" w:eastAsia="Calibri" w:hAnsi="Calibri"/>
          <w:b w:val="false"/>
          <w:bCs w:val="false"/>
          <w:i w:val="false"/>
          <w:iCs w:val="false"/>
          <w:sz w:val="22"/>
          <w:szCs w:val="22"/>
        </w:rPr>
        <w:t xml:space="preserve">This architecture is submitted for Architecture Review Board consideration. Approval of this document authorizes the build described in Sections 2 through 6; it does not authorize the processing of live PHI, which requires separate confirmation that the items in Appendix C are closed and that the Privacy and Information Security Officers have signed the control attestations in Section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171"/>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67171"/>
        <w:sz w:val="16"/>
        <w:szCs w:val="16"/>
      </w:rPr>
      <w:t xml:space="preserve">Clinical Operations Analytics Platform — Fabric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Operations Analytics Platform — Microsoft Fabric Architecture Document</dc:title>
  <dc:creator>Enterprise Data &amp; Analytics</dc:creator>
  <dc:description>Fabric architecture document for a 12-hospital regional healthcare network</dc:description>
  <cp:lastModifiedBy>Un-named</cp:lastModifiedBy>
  <cp:revision>1</cp:revision>
  <dcterms:created xsi:type="dcterms:W3CDTF">2026-08-20T08:54:48.899Z</dcterms:created>
  <dcterms:modified xsi:type="dcterms:W3CDTF">2026-08-20T08:54:48.899Z</dcterms:modified>
</cp:coreProperties>
</file>

<file path=docProps/custom.xml><?xml version="1.0" encoding="utf-8"?>
<Properties xmlns="http://schemas.openxmlformats.org/officeDocument/2006/custom-properties" xmlns:vt="http://schemas.openxmlformats.org/officeDocument/2006/docPropsVTypes"/>
</file>